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1"/>
      </w:tblGrid>
      <w:tr w:rsidR="002B38EE" w14:paraId="2457ECB8" w14:textId="77777777">
        <w:trPr>
          <w:trHeight w:val="1474"/>
        </w:trPr>
        <w:tc>
          <w:tcPr>
            <w:tcW w:w="9971" w:type="dxa"/>
            <w:shd w:val="clear" w:color="auto" w:fill="auto"/>
          </w:tcPr>
          <w:p w14:paraId="2A20DEDB" w14:textId="77777777" w:rsidR="002B38EE" w:rsidRPr="00080B8C" w:rsidRDefault="00E4204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lang w:val="pt-BR"/>
              </w:rPr>
            </w:pPr>
            <w:r w:rsidRPr="00080B8C">
              <w:rPr>
                <w:rFonts w:ascii="Arial" w:eastAsia="Arial" w:hAnsi="Arial" w:cs="Arial"/>
                <w:b/>
                <w:lang w:val="pt-BR"/>
              </w:rPr>
              <w:t>Otimização de parâmetros dos algoritmos de detecção automática e picado</w:t>
            </w:r>
          </w:p>
          <w:p w14:paraId="4A123AD8" w14:textId="77777777" w:rsidR="002B38EE" w:rsidRPr="00080B8C" w:rsidRDefault="00E4204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lang w:val="pt-BR"/>
              </w:rPr>
            </w:pPr>
            <w:r w:rsidRPr="00080B8C">
              <w:rPr>
                <w:rFonts w:ascii="Arial" w:eastAsia="Arial" w:hAnsi="Arial" w:cs="Arial"/>
                <w:b/>
                <w:lang w:val="pt-BR"/>
              </w:rPr>
              <w:t>de fases - Aplicação no Centro Sismológico da Universidade de São Paulo e</w:t>
            </w:r>
          </w:p>
          <w:p w14:paraId="38684EA8" w14:textId="77777777" w:rsidR="002B38EE" w:rsidRPr="00080B8C" w:rsidRDefault="00E4204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lang w:val="pt-BR"/>
              </w:rPr>
            </w:pPr>
            <w:r w:rsidRPr="00080B8C">
              <w:rPr>
                <w:rFonts w:ascii="Arial" w:eastAsia="Arial" w:hAnsi="Arial" w:cs="Arial"/>
                <w:b/>
                <w:lang w:val="pt-BR"/>
              </w:rPr>
              <w:t>na Rede Sismológica Nacional da Colômbia.</w:t>
            </w:r>
          </w:p>
          <w:p w14:paraId="149E42E0" w14:textId="77777777" w:rsidR="002B38EE" w:rsidRPr="00080B8C" w:rsidRDefault="00E4204C">
            <w:pPr>
              <w:spacing w:line="360" w:lineRule="auto"/>
              <w:rPr>
                <w:lang w:val="pt-BR"/>
              </w:rPr>
            </w:pP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>Camilo Muñoz Lopez</w:t>
            </w:r>
            <w:r w:rsidRPr="00080B8C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a</w:t>
            </w: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, Daniel Siervo</w:t>
            </w:r>
            <w:r w:rsidRPr="00080B8C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b</w:t>
            </w: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, Marcelo </w:t>
            </w: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>Assumpção</w:t>
            </w:r>
            <w:r w:rsidRPr="00080B8C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a</w:t>
            </w:r>
          </w:p>
          <w:p w14:paraId="16783590" w14:textId="77777777" w:rsidR="002B38EE" w:rsidRPr="00080B8C" w:rsidRDefault="00E4204C">
            <w:pPr>
              <w:spacing w:line="360" w:lineRule="auto"/>
              <w:rPr>
                <w:vertAlign w:val="superscript"/>
                <w:lang w:val="pt-BR"/>
              </w:rPr>
            </w:pPr>
            <w:r w:rsidRPr="00080B8C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a</w:t>
            </w: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IAG, Universidade de São Paulo, </w:t>
            </w:r>
            <w:r w:rsidRPr="00080B8C"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b</w:t>
            </w:r>
            <w:r w:rsidRPr="00080B8C">
              <w:rPr>
                <w:rFonts w:ascii="Arial" w:eastAsia="Arial" w:hAnsi="Arial" w:cs="Arial"/>
                <w:sz w:val="20"/>
                <w:szCs w:val="20"/>
                <w:lang w:val="pt-BR"/>
              </w:rPr>
              <w:t>Rede Sismológica Nacional da Colômbia</w:t>
            </w:r>
          </w:p>
          <w:p w14:paraId="1CAB92E8" w14:textId="77777777" w:rsidR="002B38EE" w:rsidRPr="00080B8C" w:rsidRDefault="00E4204C">
            <w:pPr>
              <w:jc w:val="both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080B8C">
              <w:rPr>
                <w:rFonts w:ascii="Arial" w:eastAsia="Arial" w:hAnsi="Arial" w:cs="Arial"/>
                <w:sz w:val="12"/>
                <w:szCs w:val="12"/>
                <w:lang w:val="pt-BR"/>
              </w:rPr>
              <w:t>Copyright 2021, SBGf - Sociedade Brasileira de Geofísica.</w:t>
            </w:r>
          </w:p>
          <w:p w14:paraId="7D2F8D98" w14:textId="77777777" w:rsidR="002B38EE" w:rsidRDefault="00E4204C">
            <w:pPr>
              <w:spacing w:after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This paper was prepared for presentation during the 17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International Congress of the Brazilian Geophysical Soci</w:t>
            </w:r>
            <w:r>
              <w:rPr>
                <w:rFonts w:ascii="Arial" w:eastAsia="Arial" w:hAnsi="Arial" w:cs="Arial"/>
                <w:sz w:val="12"/>
                <w:szCs w:val="12"/>
              </w:rPr>
              <w:t>ety held in Rio de Janeiro, Brazil, 8-11 November 2021 (Online Event). Contents of this paper were reviewed by the Technical Committee of the 17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International Congress of the Brazilian Geophysical Society and do not necessarily represent any position of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SBGf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its officers or members. Electronic reproduction or storage of any part of this paper for commercial purposes without the written consent of the Brazilian Geophysical Society is prohibited.</w:t>
            </w:r>
          </w:p>
        </w:tc>
      </w:tr>
    </w:tbl>
    <w:p w14:paraId="5C2102EB" w14:textId="77777777" w:rsidR="002B38EE" w:rsidRDefault="002B38E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979D46C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 xml:space="preserve">Duas metodologias, Grid-Search e algoritmo Bayesiano, </w:t>
      </w:r>
      <w:r w:rsidRPr="00080B8C">
        <w:rPr>
          <w:rFonts w:ascii="Arial" w:eastAsia="Arial" w:hAnsi="Arial" w:cs="Arial"/>
          <w:sz w:val="20"/>
          <w:szCs w:val="20"/>
          <w:lang w:val="pt-BR"/>
        </w:rPr>
        <w:t>foram utilizadas para otimizar a detecção automática de eventos e os parâmetros de seleção de fases no software SeisComP. Essas metodologias foram testadas com um conjunto de estações selecionadas de duas redes sismológicas, Rede Sismográfica Bra</w:t>
      </w:r>
      <w:r w:rsidRPr="00080B8C">
        <w:rPr>
          <w:rFonts w:ascii="Arial" w:eastAsia="Arial" w:hAnsi="Arial" w:cs="Arial"/>
          <w:sz w:val="20"/>
          <w:szCs w:val="20"/>
          <w:lang w:val="pt-BR"/>
        </w:rPr>
        <w:t>sileira e a Rede Sismológica Nacional da Colômbia. Depois de comparar as localizações manuais e automáticas, encontramos vários eventos ausentes e outros com localizações de baixa qualidade nos bancos de dados automáticos. Selecionamos 508 eventos</w:t>
      </w:r>
      <w:r w:rsidRPr="00080B8C">
        <w:rPr>
          <w:rFonts w:ascii="Arial" w:eastAsia="Arial" w:hAnsi="Arial" w:cs="Arial"/>
          <w:sz w:val="20"/>
          <w:szCs w:val="20"/>
          <w:lang w:val="pt-BR"/>
        </w:rPr>
        <w:t xml:space="preserve"> manuais no perı́odo 2017/01/01 - 2020/07/31 no Brasil, e 532 eventos manuais no perı́odo 2019/02/01 - 2019/02/15 próximos ao Ninho de Bucaramanga na Colômbia, como conjuntos de dados de treinamento para o processo de otimização.</w:t>
      </w:r>
    </w:p>
    <w:p w14:paraId="51D73862" w14:textId="77777777" w:rsidR="002B38EE" w:rsidRPr="00080B8C" w:rsidRDefault="002B38EE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489AD8E6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>Foi implementado um c</w:t>
      </w:r>
      <w:r w:rsidRPr="00080B8C">
        <w:rPr>
          <w:rFonts w:ascii="Arial" w:eastAsia="Arial" w:hAnsi="Arial" w:cs="Arial"/>
          <w:sz w:val="20"/>
          <w:szCs w:val="20"/>
          <w:lang w:val="pt-BR"/>
        </w:rPr>
        <w:t>ódigo para usar Grid-Search como uma metodologia de otimização; este código faz um processo iterativo que gera picks automáticos modificando os parâmetros. O pacote Optuna foi utilizado para implementar o algoritmo Bayesiano como metodologia de otimi</w:t>
      </w:r>
      <w:r w:rsidRPr="00080B8C">
        <w:rPr>
          <w:rFonts w:ascii="Arial" w:eastAsia="Arial" w:hAnsi="Arial" w:cs="Arial"/>
          <w:sz w:val="20"/>
          <w:szCs w:val="20"/>
          <w:lang w:val="pt-BR"/>
        </w:rPr>
        <w:t>zação. Os eventos selecionados foram usados</w:t>
      </w:r>
    </w:p>
    <w:p w14:paraId="777FCC76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>como um conjunto de treinamento, e um processo iterativo de acordo com o método Bayesiano foi usado.</w:t>
      </w:r>
    </w:p>
    <w:p w14:paraId="7CD3D40F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>As duas metodologias apresentaram excelentes resultados. Grid-Search nos permitiu realizar uma análise comp</w:t>
      </w:r>
      <w:r w:rsidRPr="00080B8C">
        <w:rPr>
          <w:rFonts w:ascii="Arial" w:eastAsia="Arial" w:hAnsi="Arial" w:cs="Arial"/>
          <w:sz w:val="20"/>
          <w:szCs w:val="20"/>
          <w:lang w:val="pt-BR"/>
        </w:rPr>
        <w:t>leta dos resultados examinando todo o espaço de parâmetros.</w:t>
      </w:r>
    </w:p>
    <w:p w14:paraId="657B33C4" w14:textId="77777777" w:rsidR="002B38EE" w:rsidRPr="00080B8C" w:rsidRDefault="002B38EE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427DCAD5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>Grid-Search, no entanto, aumenta o tempo de computação ao testar muitos valores dos parâmetros envolvidos no processo de otimização. Por outro lado, o algoritmo Bayesiano pode ser implemen</w:t>
      </w:r>
      <w:r w:rsidRPr="00080B8C">
        <w:rPr>
          <w:rFonts w:ascii="Arial" w:eastAsia="Arial" w:hAnsi="Arial" w:cs="Arial"/>
          <w:sz w:val="20"/>
          <w:szCs w:val="20"/>
          <w:lang w:val="pt-BR"/>
        </w:rPr>
        <w:t>tado usando vários parâmetros sem aumentar o tempo de computação.</w:t>
      </w:r>
    </w:p>
    <w:p w14:paraId="6EDB250B" w14:textId="77777777" w:rsidR="002B38EE" w:rsidRPr="00080B8C" w:rsidRDefault="002B38EE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682904C4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 xml:space="preserve">Após o processo de otimização, os picks automáticos aumentam em 78% e 56% para RSBR e RSNC, respectivamente. O número de localizações calculadas com os novos pikcs </w:t>
      </w:r>
      <w:r w:rsidRPr="00080B8C">
        <w:rPr>
          <w:rFonts w:ascii="Arial" w:eastAsia="Arial" w:hAnsi="Arial" w:cs="Arial"/>
          <w:sz w:val="20"/>
          <w:szCs w:val="20"/>
          <w:lang w:val="pt-BR"/>
        </w:rPr>
        <w:t>automáticos, dobrou as localizações automáticas determinadas pelos sistemas antes do processo de otimização para ambas as redes.</w:t>
      </w:r>
    </w:p>
    <w:p w14:paraId="08A8B118" w14:textId="77777777" w:rsidR="002B38EE" w:rsidRPr="00080B8C" w:rsidRDefault="002B38EE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4A9E89AF" w14:textId="77777777" w:rsidR="002B38EE" w:rsidRPr="00080B8C" w:rsidRDefault="00E4204C">
      <w:pPr>
        <w:spacing w:line="276" w:lineRule="auto"/>
        <w:jc w:val="both"/>
        <w:rPr>
          <w:lang w:val="pt-BR"/>
        </w:rPr>
      </w:pPr>
      <w:r w:rsidRPr="00080B8C">
        <w:rPr>
          <w:rFonts w:ascii="Arial" w:eastAsia="Arial" w:hAnsi="Arial" w:cs="Arial"/>
          <w:sz w:val="20"/>
          <w:szCs w:val="20"/>
          <w:lang w:val="pt-BR"/>
        </w:rPr>
        <w:t>Centros sismológicos podem implementar metodologias como Grid-Search ou algoritmo Bayesiano para melhorar seus sistemas</w:t>
      </w:r>
      <w:r w:rsidRPr="00080B8C">
        <w:rPr>
          <w:rFonts w:ascii="Arial" w:eastAsia="Arial" w:hAnsi="Arial" w:cs="Arial"/>
          <w:sz w:val="20"/>
          <w:szCs w:val="20"/>
          <w:lang w:val="pt-BR"/>
        </w:rPr>
        <w:t xml:space="preserve"> de processamento automático. Além disso, a padronização dessas metodologias ajudaria a facilitar sua implementação.</w:t>
      </w:r>
    </w:p>
    <w:sectPr w:rsidR="002B38EE" w:rsidRPr="00080B8C">
      <w:headerReference w:type="default" r:id="rId6"/>
      <w:footerReference w:type="default" r:id="rId7"/>
      <w:pgSz w:w="12240" w:h="15840"/>
      <w:pgMar w:top="1135" w:right="1133" w:bottom="1134" w:left="1133" w:header="709" w:footer="283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9ED6" w14:textId="77777777" w:rsidR="00E4204C" w:rsidRDefault="00E4204C">
      <w:r>
        <w:separator/>
      </w:r>
    </w:p>
  </w:endnote>
  <w:endnote w:type="continuationSeparator" w:id="0">
    <w:p w14:paraId="13F8EC02" w14:textId="77777777" w:rsidR="00E4204C" w:rsidRDefault="00E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4FCF" w14:textId="77777777" w:rsidR="002B38EE" w:rsidRDefault="00E4204C">
    <w:pPr>
      <w:widowControl/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Seventeenth International Congress of the Brazilian Geophysical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0E1C" w14:textId="77777777" w:rsidR="00E4204C" w:rsidRDefault="00E4204C">
      <w:r>
        <w:separator/>
      </w:r>
    </w:p>
  </w:footnote>
  <w:footnote w:type="continuationSeparator" w:id="0">
    <w:p w14:paraId="11D1B26C" w14:textId="77777777" w:rsidR="00E4204C" w:rsidRDefault="00E4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CBE1" w14:textId="77777777" w:rsidR="002B38EE" w:rsidRDefault="00E4204C">
    <w:pPr>
      <w:pStyle w:val="Cabealho"/>
      <w:jc w:val="right"/>
    </w:pPr>
    <w:r>
      <w:rPr>
        <w:noProof/>
      </w:rPr>
      <w:drawing>
        <wp:inline distT="0" distB="0" distL="0" distR="0" wp14:anchorId="2A658D13" wp14:editId="14E1D3FE">
          <wp:extent cx="1924685" cy="76708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8E72B1" wp14:editId="11D2CBB7">
          <wp:extent cx="1196340" cy="767715"/>
          <wp:effectExtent l="0" t="0" r="0" b="0"/>
          <wp:docPr id="2" name="image1.png" descr="logo_sbgf_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_sbgf_8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E"/>
    <w:rsid w:val="00080B8C"/>
    <w:rsid w:val="002B38EE"/>
    <w:rsid w:val="00E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486D9"/>
  <w15:docId w15:val="{F6848E53-D8BC-AE4B-B3FA-DFA59CB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oto Serif CJK SC" w:hAnsi="Calibri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sz w:val="24"/>
    </w:rPr>
  </w:style>
  <w:style w:type="paragraph" w:styleId="Ttulo1">
    <w:name w:val="heading 1"/>
    <w:basedOn w:val="Ttulo"/>
    <w:uiPriority w:val="9"/>
    <w:qFormat/>
    <w:pPr>
      <w:widowControl w:val="0"/>
      <w:spacing w:before="120" w:after="0"/>
      <w:outlineLvl w:val="0"/>
    </w:pPr>
    <w:rPr>
      <w:rFonts w:ascii="Arial" w:eastAsia="Arial" w:hAnsi="Arial" w:cs="Arial"/>
      <w:sz w:val="18"/>
      <w:szCs w:val="18"/>
    </w:rPr>
  </w:style>
  <w:style w:type="paragraph" w:styleId="Ttulo2">
    <w:name w:val="heading 2"/>
    <w:basedOn w:val="Ttulo"/>
    <w:uiPriority w:val="9"/>
    <w:semiHidden/>
    <w:unhideWhenUsed/>
    <w:qFormat/>
    <w:pPr>
      <w:widowControl w:val="0"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Ttulo"/>
    <w:uiPriority w:val="9"/>
    <w:semiHidden/>
    <w:unhideWhenUsed/>
    <w:qFormat/>
    <w:pPr>
      <w:widowControl w:val="0"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Ttulo"/>
    <w:uiPriority w:val="9"/>
    <w:semiHidden/>
    <w:unhideWhenUsed/>
    <w:qFormat/>
    <w:pPr>
      <w:widowControl w:val="0"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Ttulo"/>
    <w:uiPriority w:val="9"/>
    <w:semiHidden/>
    <w:unhideWhenUsed/>
    <w:qFormat/>
    <w:pPr>
      <w:widowControl w:val="0"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Ttulo"/>
    <w:uiPriority w:val="9"/>
    <w:semiHidden/>
    <w:unhideWhenUsed/>
    <w:qFormat/>
    <w:pPr>
      <w:widowControl w:val="0"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  <w:rPr>
      <w:sz w:val="24"/>
    </w:rPr>
  </w:style>
  <w:style w:type="paragraph" w:styleId="Subttulo">
    <w:name w:val="Subtitle"/>
    <w:basedOn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Fontes</dc:creator>
  <dc:description/>
  <cp:lastModifiedBy>Sergio Fontes</cp:lastModifiedBy>
  <cp:revision>2</cp:revision>
  <dcterms:created xsi:type="dcterms:W3CDTF">2021-09-05T16:11:00Z</dcterms:created>
  <dcterms:modified xsi:type="dcterms:W3CDTF">2021-09-05T16:11:00Z</dcterms:modified>
  <dc:language>pt-BR</dc:language>
</cp:coreProperties>
</file>