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ED9F3" w14:textId="7B758750" w:rsidR="006C3900" w:rsidRPr="00F40815" w:rsidRDefault="006C3900" w:rsidP="002B7DC6">
      <w:pPr>
        <w:spacing w:before="60" w:after="60"/>
        <w:rPr>
          <w:rFonts w:ascii="Arial" w:hAnsi="Arial" w:cs="Arial"/>
          <w:b/>
          <w:bCs/>
          <w:lang w:val="en-US"/>
        </w:rPr>
      </w:pPr>
      <w:r w:rsidRPr="00F40815">
        <w:rPr>
          <w:rFonts w:ascii="Arial" w:hAnsi="Arial" w:cs="Arial"/>
          <w:b/>
          <w:bCs/>
          <w:lang w:val="en-US"/>
        </w:rPr>
        <w:t>Reservoir</w:t>
      </w:r>
      <w:r w:rsidR="00F72EAD">
        <w:rPr>
          <w:rFonts w:ascii="Arial" w:hAnsi="Arial" w:cs="Arial"/>
          <w:b/>
          <w:bCs/>
          <w:lang w:val="en-US"/>
        </w:rPr>
        <w:t xml:space="preserve"> Characterization</w:t>
      </w:r>
      <w:r w:rsidRPr="00F40815">
        <w:rPr>
          <w:rFonts w:ascii="Arial" w:hAnsi="Arial" w:cs="Arial"/>
          <w:b/>
          <w:bCs/>
          <w:lang w:val="en-US"/>
        </w:rPr>
        <w:t xml:space="preserve"> in </w:t>
      </w:r>
      <w:r w:rsidR="00F72EAD">
        <w:rPr>
          <w:rFonts w:ascii="Arial" w:hAnsi="Arial" w:cs="Arial"/>
          <w:b/>
          <w:bCs/>
          <w:lang w:val="en-US"/>
        </w:rPr>
        <w:t xml:space="preserve">the </w:t>
      </w:r>
      <w:proofErr w:type="spellStart"/>
      <w:r w:rsidRPr="00F40815">
        <w:rPr>
          <w:rFonts w:ascii="Arial" w:hAnsi="Arial" w:cs="Arial"/>
          <w:b/>
          <w:bCs/>
          <w:lang w:val="en-US"/>
        </w:rPr>
        <w:t>Bauna</w:t>
      </w:r>
      <w:proofErr w:type="spellEnd"/>
      <w:r w:rsidRPr="00F40815">
        <w:rPr>
          <w:rFonts w:ascii="Arial" w:hAnsi="Arial" w:cs="Arial"/>
          <w:b/>
          <w:bCs/>
          <w:lang w:val="en-US"/>
        </w:rPr>
        <w:t xml:space="preserve"> and </w:t>
      </w:r>
      <w:proofErr w:type="spellStart"/>
      <w:r w:rsidRPr="00F40815">
        <w:rPr>
          <w:rFonts w:ascii="Arial" w:hAnsi="Arial" w:cs="Arial"/>
          <w:b/>
          <w:bCs/>
          <w:lang w:val="en-US"/>
        </w:rPr>
        <w:t>Piracaba</w:t>
      </w:r>
      <w:proofErr w:type="spellEnd"/>
      <w:r w:rsidR="00F72EAD">
        <w:rPr>
          <w:rFonts w:ascii="Arial" w:hAnsi="Arial" w:cs="Arial"/>
          <w:b/>
          <w:bCs/>
          <w:lang w:val="en-US"/>
        </w:rPr>
        <w:t xml:space="preserve"> fields</w:t>
      </w:r>
      <w:r w:rsidRPr="00F40815">
        <w:rPr>
          <w:rFonts w:ascii="Arial" w:hAnsi="Arial" w:cs="Arial"/>
          <w:b/>
          <w:bCs/>
          <w:lang w:val="en-US"/>
        </w:rPr>
        <w:t>, Santos Basin</w:t>
      </w:r>
    </w:p>
    <w:p w14:paraId="6471D6BC" w14:textId="1EC19AE0" w:rsidR="00A454E8" w:rsidRDefault="00AE06B1" w:rsidP="002B7DC6">
      <w:pPr>
        <w:spacing w:before="60" w:after="60"/>
        <w:rPr>
          <w:rFonts w:ascii="Arial" w:hAnsi="Arial" w:cs="Arial"/>
          <w:sz w:val="18"/>
          <w:szCs w:val="18"/>
        </w:rPr>
      </w:pPr>
      <w:r>
        <w:rPr>
          <w:rFonts w:ascii="Arial" w:hAnsi="Arial" w:cs="Arial"/>
          <w:sz w:val="18"/>
          <w:szCs w:val="18"/>
        </w:rPr>
        <w:t>Ana Carla dos Santos Pinheiro</w:t>
      </w:r>
      <w:r w:rsidRPr="003F662F">
        <w:rPr>
          <w:rFonts w:ascii="Arial" w:hAnsi="Arial" w:cs="Arial"/>
          <w:sz w:val="18"/>
          <w:szCs w:val="18"/>
          <w:vertAlign w:val="superscript"/>
        </w:rPr>
        <w:t>1</w:t>
      </w:r>
      <w:r>
        <w:rPr>
          <w:rFonts w:ascii="Arial" w:hAnsi="Arial" w:cs="Arial"/>
          <w:sz w:val="18"/>
          <w:szCs w:val="18"/>
        </w:rPr>
        <w:t>,</w:t>
      </w:r>
      <w:r w:rsidR="00F72EAD" w:rsidRPr="00F72EAD">
        <w:rPr>
          <w:rFonts w:ascii="Arial" w:hAnsi="Arial" w:cs="Arial"/>
          <w:sz w:val="18"/>
          <w:szCs w:val="18"/>
        </w:rPr>
        <w:t xml:space="preserve"> </w:t>
      </w:r>
      <w:r w:rsidR="00711D81">
        <w:rPr>
          <w:rFonts w:ascii="Arial" w:hAnsi="Arial" w:cs="Arial"/>
          <w:sz w:val="18"/>
          <w:szCs w:val="18"/>
        </w:rPr>
        <w:t xml:space="preserve">Francisco </w:t>
      </w:r>
      <w:proofErr w:type="spellStart"/>
      <w:r w:rsidR="00711D81">
        <w:rPr>
          <w:rFonts w:ascii="Arial" w:hAnsi="Arial" w:cs="Arial"/>
          <w:sz w:val="18"/>
          <w:szCs w:val="18"/>
        </w:rPr>
        <w:t>Romério</w:t>
      </w:r>
      <w:proofErr w:type="spellEnd"/>
      <w:r w:rsidR="00711D81">
        <w:rPr>
          <w:rFonts w:ascii="Arial" w:hAnsi="Arial" w:cs="Arial"/>
          <w:sz w:val="18"/>
          <w:szCs w:val="18"/>
        </w:rPr>
        <w:t xml:space="preserve"> Abrantes Júnior</w:t>
      </w:r>
      <w:r w:rsidR="00711D81" w:rsidRPr="003F662F">
        <w:rPr>
          <w:rFonts w:ascii="Arial" w:hAnsi="Arial" w:cs="Arial"/>
          <w:sz w:val="18"/>
          <w:szCs w:val="18"/>
          <w:vertAlign w:val="superscript"/>
        </w:rPr>
        <w:t>1</w:t>
      </w:r>
      <w:r w:rsidR="00711D81">
        <w:rPr>
          <w:rFonts w:ascii="Arial" w:hAnsi="Arial" w:cs="Arial"/>
          <w:sz w:val="18"/>
          <w:szCs w:val="18"/>
          <w:vertAlign w:val="superscript"/>
        </w:rPr>
        <w:t>,2</w:t>
      </w:r>
      <w:r w:rsidR="00711D81">
        <w:rPr>
          <w:rFonts w:ascii="Arial" w:hAnsi="Arial" w:cs="Arial"/>
          <w:sz w:val="18"/>
          <w:szCs w:val="18"/>
        </w:rPr>
        <w:t xml:space="preserve">, </w:t>
      </w:r>
      <w:proofErr w:type="spellStart"/>
      <w:r w:rsidR="00F72EAD">
        <w:rPr>
          <w:rFonts w:ascii="Arial" w:hAnsi="Arial" w:cs="Arial"/>
          <w:sz w:val="18"/>
          <w:szCs w:val="18"/>
        </w:rPr>
        <w:t>Antonio</w:t>
      </w:r>
      <w:proofErr w:type="spellEnd"/>
      <w:r w:rsidR="00F72EAD">
        <w:rPr>
          <w:rFonts w:ascii="Arial" w:hAnsi="Arial" w:cs="Arial"/>
          <w:sz w:val="18"/>
          <w:szCs w:val="18"/>
        </w:rPr>
        <w:t xml:space="preserve"> Fernando Menezes Freire</w:t>
      </w:r>
      <w:r w:rsidR="00F72EAD" w:rsidRPr="003F662F">
        <w:rPr>
          <w:rFonts w:ascii="Arial" w:hAnsi="Arial" w:cs="Arial"/>
          <w:sz w:val="18"/>
          <w:szCs w:val="18"/>
          <w:vertAlign w:val="superscript"/>
        </w:rPr>
        <w:t>1</w:t>
      </w:r>
      <w:r w:rsidR="00F72EAD">
        <w:rPr>
          <w:rFonts w:ascii="Arial" w:hAnsi="Arial" w:cs="Arial"/>
          <w:sz w:val="18"/>
          <w:szCs w:val="18"/>
          <w:vertAlign w:val="superscript"/>
        </w:rPr>
        <w:t>,2</w:t>
      </w:r>
      <w:r w:rsidR="00F72EAD">
        <w:rPr>
          <w:rFonts w:ascii="Arial" w:hAnsi="Arial" w:cs="Arial"/>
          <w:sz w:val="18"/>
          <w:szCs w:val="18"/>
        </w:rPr>
        <w:t xml:space="preserve">, </w:t>
      </w:r>
      <w:r>
        <w:rPr>
          <w:rFonts w:ascii="Arial" w:hAnsi="Arial" w:cs="Arial"/>
          <w:sz w:val="18"/>
          <w:szCs w:val="18"/>
        </w:rPr>
        <w:t>Wagner Moreira Lupinacci</w:t>
      </w:r>
      <w:r w:rsidRPr="003F662F">
        <w:rPr>
          <w:rFonts w:ascii="Arial" w:hAnsi="Arial" w:cs="Arial"/>
          <w:sz w:val="18"/>
          <w:szCs w:val="18"/>
          <w:vertAlign w:val="superscript"/>
        </w:rPr>
        <w:t>1</w:t>
      </w:r>
      <w:r>
        <w:rPr>
          <w:rFonts w:ascii="Arial" w:hAnsi="Arial" w:cs="Arial"/>
          <w:sz w:val="18"/>
          <w:szCs w:val="18"/>
          <w:vertAlign w:val="superscript"/>
        </w:rPr>
        <w:t>,2</w:t>
      </w:r>
    </w:p>
    <w:p w14:paraId="6AC627A3" w14:textId="016077AD" w:rsidR="00AE06B1" w:rsidRPr="009D073C" w:rsidRDefault="00AE06B1" w:rsidP="00AE06B1">
      <w:pPr>
        <w:rPr>
          <w:rFonts w:ascii="Arial" w:hAnsi="Arial" w:cs="Arial"/>
          <w:sz w:val="18"/>
          <w:szCs w:val="18"/>
          <w:lang w:val="en-US"/>
        </w:rPr>
      </w:pPr>
      <w:r w:rsidRPr="009D073C">
        <w:rPr>
          <w:rFonts w:ascii="Arial" w:hAnsi="Arial" w:cs="Arial"/>
          <w:sz w:val="18"/>
          <w:szCs w:val="18"/>
          <w:vertAlign w:val="superscript"/>
          <w:lang w:val="en-US"/>
        </w:rPr>
        <w:t>1</w:t>
      </w:r>
      <w:r w:rsidR="009D073C" w:rsidRPr="009D073C">
        <w:rPr>
          <w:rFonts w:ascii="Arial" w:hAnsi="Arial" w:cs="Arial"/>
          <w:sz w:val="18"/>
          <w:szCs w:val="18"/>
          <w:lang w:val="en-US"/>
        </w:rPr>
        <w:t>Exploratory Interpretation and Reservoir Characterization Group</w:t>
      </w:r>
      <w:r w:rsidRPr="009D073C">
        <w:rPr>
          <w:rFonts w:ascii="Arial" w:hAnsi="Arial" w:cs="Arial"/>
          <w:sz w:val="18"/>
          <w:szCs w:val="18"/>
          <w:lang w:val="en-US"/>
        </w:rPr>
        <w:t xml:space="preserve"> (GIECAR) – UFF</w:t>
      </w:r>
    </w:p>
    <w:p w14:paraId="4EEB78CC" w14:textId="48B6A7D0" w:rsidR="00AE06B1" w:rsidRPr="00C617A6" w:rsidRDefault="00AE06B1" w:rsidP="00AE06B1">
      <w:pPr>
        <w:rPr>
          <w:rFonts w:ascii="Arial" w:hAnsi="Arial" w:cs="Arial"/>
          <w:sz w:val="18"/>
          <w:szCs w:val="18"/>
          <w:lang w:val="en-US"/>
        </w:rPr>
      </w:pPr>
      <w:r w:rsidRPr="00C617A6">
        <w:rPr>
          <w:rFonts w:ascii="Arial" w:hAnsi="Arial" w:cs="Arial"/>
          <w:sz w:val="18"/>
          <w:szCs w:val="18"/>
          <w:vertAlign w:val="superscript"/>
          <w:lang w:val="en-US"/>
        </w:rPr>
        <w:t>2</w:t>
      </w:r>
      <w:r w:rsidR="009D073C" w:rsidRPr="00C617A6">
        <w:rPr>
          <w:rFonts w:ascii="Arial" w:hAnsi="Arial" w:cs="Arial"/>
          <w:sz w:val="18"/>
          <w:szCs w:val="18"/>
          <w:lang w:val="en-US"/>
        </w:rPr>
        <w:t>National Institute of Petroleum Geophysics Science and Technology</w:t>
      </w:r>
      <w:r w:rsidRPr="00C617A6">
        <w:rPr>
          <w:rFonts w:ascii="Arial" w:hAnsi="Arial" w:cs="Arial"/>
          <w:sz w:val="18"/>
          <w:szCs w:val="18"/>
          <w:lang w:val="en-US"/>
        </w:rPr>
        <w:t xml:space="preserve"> – INCT-GP </w:t>
      </w:r>
    </w:p>
    <w:p w14:paraId="39476555" w14:textId="77777777" w:rsidR="00631F4D" w:rsidRPr="00C617A6" w:rsidRDefault="00631F4D" w:rsidP="00AE06B1">
      <w:pPr>
        <w:rPr>
          <w:rFonts w:ascii="Arial" w:hAnsi="Arial" w:cs="Arial"/>
          <w:sz w:val="18"/>
          <w:szCs w:val="18"/>
          <w:lang w:val="en-US"/>
        </w:rPr>
      </w:pPr>
    </w:p>
    <w:p w14:paraId="137D01CB" w14:textId="3DBA9087" w:rsidR="00631F4D" w:rsidRPr="00C617A6" w:rsidRDefault="00631F4D" w:rsidP="00AE06B1">
      <w:pPr>
        <w:rPr>
          <w:rFonts w:ascii="Arial" w:hAnsi="Arial" w:cs="Arial"/>
          <w:sz w:val="18"/>
          <w:szCs w:val="18"/>
          <w:lang w:val="en-US"/>
        </w:rPr>
        <w:sectPr w:rsidR="00631F4D" w:rsidRPr="00C617A6" w:rsidSect="00AD6209">
          <w:headerReference w:type="even" r:id="rId8"/>
          <w:headerReference w:type="default" r:id="rId9"/>
          <w:footerReference w:type="even" r:id="rId10"/>
          <w:footerReference w:type="default" r:id="rId11"/>
          <w:headerReference w:type="first" r:id="rId12"/>
          <w:footerReference w:type="first" r:id="rId13"/>
          <w:pgSz w:w="12242" w:h="15842" w:code="1"/>
          <w:pgMar w:top="1418" w:right="1134" w:bottom="1418" w:left="1134" w:header="720" w:footer="84" w:gutter="0"/>
          <w:cols w:space="720"/>
          <w:titlePg/>
          <w:docGrid w:linePitch="360"/>
        </w:sectPr>
      </w:pPr>
    </w:p>
    <w:p w14:paraId="5FEDE27C" w14:textId="77777777" w:rsidR="00411857" w:rsidRDefault="00411857" w:rsidP="00411857">
      <w:pPr>
        <w:spacing w:before="120"/>
        <w:jc w:val="both"/>
        <w:rPr>
          <w:rFonts w:ascii="Arial" w:hAnsi="Arial" w:cs="Arial"/>
          <w:sz w:val="12"/>
        </w:rPr>
      </w:pPr>
      <w:r>
        <w:rPr>
          <w:rFonts w:ascii="Arial" w:hAnsi="Arial" w:cs="Arial"/>
          <w:sz w:val="12"/>
        </w:rPr>
        <w:t xml:space="preserve">Copyright 2023, </w:t>
      </w:r>
      <w:proofErr w:type="spellStart"/>
      <w:r>
        <w:rPr>
          <w:rFonts w:ascii="Arial" w:hAnsi="Arial" w:cs="Arial"/>
          <w:sz w:val="12"/>
        </w:rPr>
        <w:t>SBGf</w:t>
      </w:r>
      <w:proofErr w:type="spellEnd"/>
      <w:r>
        <w:rPr>
          <w:rFonts w:ascii="Arial" w:hAnsi="Arial" w:cs="Arial"/>
          <w:sz w:val="12"/>
        </w:rPr>
        <w:t xml:space="preserve"> - Sociedade Brasileira de Geofísica</w:t>
      </w:r>
    </w:p>
    <w:p w14:paraId="44169387" w14:textId="77777777" w:rsidR="00411857" w:rsidRDefault="00411857" w:rsidP="00411857">
      <w:pPr>
        <w:spacing w:before="120"/>
        <w:jc w:val="both"/>
        <w:rPr>
          <w:rFonts w:ascii="Arial" w:hAnsi="Arial" w:cs="Arial"/>
          <w:sz w:val="12"/>
          <w:lang w:val="en-US"/>
        </w:rPr>
      </w:pPr>
      <w:r>
        <w:rPr>
          <w:rFonts w:ascii="Arial" w:hAnsi="Arial" w:cs="Arial"/>
          <w:sz w:val="12"/>
          <w:lang w:val="en-US"/>
        </w:rPr>
        <w:t>This paper was prepared for presentation during the 18</w:t>
      </w:r>
      <w:r>
        <w:rPr>
          <w:rFonts w:ascii="Arial" w:hAnsi="Arial" w:cs="Arial"/>
          <w:sz w:val="12"/>
          <w:vertAlign w:val="superscript"/>
          <w:lang w:val="en-US"/>
        </w:rPr>
        <w:t>th</w:t>
      </w:r>
      <w:r>
        <w:rPr>
          <w:rFonts w:ascii="Arial" w:hAnsi="Arial" w:cs="Arial"/>
          <w:sz w:val="12"/>
          <w:lang w:val="en-US"/>
        </w:rPr>
        <w:t xml:space="preserve"> International Congress of the Brazilian Geophysical Society held in Rio de Janeiro, Brazil, 16-19 October 2023.</w:t>
      </w:r>
    </w:p>
    <w:p w14:paraId="66724563" w14:textId="31266BC6" w:rsidR="006F0AEF" w:rsidRPr="00411857" w:rsidRDefault="00411857" w:rsidP="00411857">
      <w:pPr>
        <w:autoSpaceDE w:val="0"/>
        <w:autoSpaceDN w:val="0"/>
        <w:adjustRightInd w:val="0"/>
        <w:jc w:val="both"/>
        <w:rPr>
          <w:rFonts w:ascii="Arial" w:hAnsi="Arial" w:cs="Arial"/>
          <w:i/>
          <w:iCs/>
          <w:sz w:val="12"/>
          <w:szCs w:val="12"/>
          <w:lang w:val="en-US"/>
        </w:rPr>
      </w:pPr>
      <w:r>
        <w:rPr>
          <w:rFonts w:ascii="Arial" w:hAnsi="Arial" w:cs="Arial"/>
          <w:sz w:val="12"/>
          <w:lang w:val="en-US"/>
        </w:rPr>
        <w:t>Contents of this paper were reviewed by the Technical Committee of the 18</w:t>
      </w:r>
      <w:r>
        <w:rPr>
          <w:rFonts w:ascii="Arial" w:hAnsi="Arial" w:cs="Arial"/>
          <w:sz w:val="12"/>
          <w:vertAlign w:val="superscript"/>
          <w:lang w:val="en-US"/>
        </w:rPr>
        <w:t>th</w:t>
      </w:r>
      <w:r>
        <w:rPr>
          <w:rFonts w:ascii="Arial" w:hAnsi="Arial" w:cs="Arial"/>
          <w:sz w:val="12"/>
          <w:lang w:val="en-US"/>
        </w:rPr>
        <w:t xml:space="preserve"> International Congress of the Brazilian Geophysical Society and do not necessarily represent any position of the </w:t>
      </w:r>
      <w:proofErr w:type="spellStart"/>
      <w:r>
        <w:rPr>
          <w:rFonts w:ascii="Arial" w:hAnsi="Arial" w:cs="Arial"/>
          <w:sz w:val="12"/>
          <w:lang w:val="en-US"/>
        </w:rPr>
        <w:t>SBGf</w:t>
      </w:r>
      <w:proofErr w:type="spellEnd"/>
      <w:r>
        <w:rPr>
          <w:rFonts w:ascii="Arial" w:hAnsi="Arial" w:cs="Arial"/>
          <w:sz w:val="12"/>
          <w:lang w:val="en-US"/>
        </w:rPr>
        <w:t>, its officers or members. Electronic reproduction or storage of any part of this paper for commercial purposes without the written consent of the Brazilian Geophysical Society is prohibited</w:t>
      </w:r>
      <w:r w:rsidR="006F0AEF" w:rsidRPr="00411857">
        <w:rPr>
          <w:rFonts w:ascii="Arial" w:hAnsi="Arial" w:cs="Arial"/>
          <w:i/>
          <w:iCs/>
          <w:sz w:val="12"/>
          <w:szCs w:val="12"/>
          <w:lang w:val="en-US"/>
        </w:rPr>
        <w:t>.</w:t>
      </w:r>
    </w:p>
    <w:p w14:paraId="48DCC96C" w14:textId="77777777" w:rsidR="00A454E8" w:rsidRPr="00411857" w:rsidRDefault="00A454E8">
      <w:pPr>
        <w:tabs>
          <w:tab w:val="left" w:leader="underscore" w:pos="4604"/>
        </w:tabs>
        <w:jc w:val="both"/>
        <w:rPr>
          <w:rFonts w:ascii="Arial" w:hAnsi="Arial" w:cs="Arial"/>
          <w:sz w:val="12"/>
          <w:szCs w:val="12"/>
          <w:lang w:val="en-US"/>
        </w:rPr>
      </w:pPr>
      <w:r w:rsidRPr="00411857">
        <w:rPr>
          <w:rFonts w:ascii="Arial" w:hAnsi="Arial" w:cs="Arial"/>
          <w:sz w:val="12"/>
          <w:szCs w:val="12"/>
          <w:lang w:val="en-US"/>
        </w:rPr>
        <w:tab/>
      </w:r>
    </w:p>
    <w:p w14:paraId="7B191E4A" w14:textId="6F12E318" w:rsidR="005E2197" w:rsidRPr="00477840" w:rsidRDefault="005E2197" w:rsidP="00076C6D">
      <w:pPr>
        <w:pStyle w:val="Corpodetexto"/>
        <w:rPr>
          <w:lang w:val="en-US"/>
        </w:rPr>
      </w:pPr>
    </w:p>
    <w:p w14:paraId="5B1AFD8F" w14:textId="77777777" w:rsidR="000503CD" w:rsidRPr="00F40815" w:rsidRDefault="000503CD" w:rsidP="000503CD">
      <w:pPr>
        <w:pStyle w:val="Ttulo1"/>
      </w:pPr>
      <w:r>
        <w:t>Abstract</w:t>
      </w:r>
      <w:r w:rsidRPr="00F40815">
        <w:t xml:space="preserve"> </w:t>
      </w:r>
    </w:p>
    <w:p w14:paraId="357E3C2E" w14:textId="1A219196" w:rsidR="000503CD" w:rsidRDefault="000503CD" w:rsidP="000503CD">
      <w:pPr>
        <w:pStyle w:val="Corpodetexto"/>
        <w:rPr>
          <w:lang w:val="en-US"/>
        </w:rPr>
      </w:pPr>
      <w:r w:rsidRPr="00411857">
        <w:rPr>
          <w:lang w:val="en-US"/>
        </w:rPr>
        <w:t xml:space="preserve">The Santos Basin </w:t>
      </w:r>
      <w:proofErr w:type="gramStart"/>
      <w:r w:rsidRPr="00411857">
        <w:rPr>
          <w:lang w:val="en-US"/>
        </w:rPr>
        <w:t>is located in</w:t>
      </w:r>
      <w:proofErr w:type="gramEnd"/>
      <w:r w:rsidRPr="00411857">
        <w:rPr>
          <w:lang w:val="en-US"/>
        </w:rPr>
        <w:t xml:space="preserve"> the southeastern portion of the Brazilian margin, between the Altos de Cabo Frio and Florianópolis, which covers an area of about 350,000</w:t>
      </w:r>
      <w:r>
        <w:rPr>
          <w:lang w:val="en-US"/>
        </w:rPr>
        <w:t xml:space="preserve"> </w:t>
      </w:r>
      <m:oMath>
        <m:sSup>
          <m:sSupPr>
            <m:ctrlPr>
              <w:rPr>
                <w:rFonts w:ascii="Cambria Math" w:hAnsi="Cambria Math"/>
                <w:i/>
              </w:rPr>
            </m:ctrlPr>
          </m:sSupPr>
          <m:e>
            <m:r>
              <w:rPr>
                <w:rFonts w:ascii="Cambria Math" w:hAnsi="Cambria Math"/>
              </w:rPr>
              <m:t>km</m:t>
            </m:r>
          </m:e>
          <m:sup>
            <m:r>
              <w:rPr>
                <w:rFonts w:ascii="Cambria Math" w:hAnsi="Cambria Math"/>
                <w:lang w:val="en-US"/>
              </w:rPr>
              <m:t>2</m:t>
            </m:r>
          </m:sup>
        </m:sSup>
      </m:oMath>
      <w:r w:rsidRPr="00411857">
        <w:rPr>
          <w:lang w:val="en-US"/>
        </w:rPr>
        <w:t xml:space="preserve">. This basin has a high diversification of reservoirs both in the pre-salt and in the post-salt, with many fields still under study and which have great production potential. The </w:t>
      </w:r>
      <w:proofErr w:type="spellStart"/>
      <w:r w:rsidRPr="00411857">
        <w:rPr>
          <w:lang w:val="en-US"/>
        </w:rPr>
        <w:t>Marambaia</w:t>
      </w:r>
      <w:proofErr w:type="spellEnd"/>
      <w:r w:rsidRPr="00411857">
        <w:rPr>
          <w:lang w:val="en-US"/>
        </w:rPr>
        <w:t xml:space="preserve"> Formation, of the </w:t>
      </w:r>
      <w:proofErr w:type="spellStart"/>
      <w:r w:rsidRPr="00411857">
        <w:rPr>
          <w:lang w:val="en-US"/>
        </w:rPr>
        <w:t>Itamambuca</w:t>
      </w:r>
      <w:proofErr w:type="spellEnd"/>
      <w:r w:rsidRPr="00411857">
        <w:rPr>
          <w:lang w:val="en-US"/>
        </w:rPr>
        <w:t xml:space="preserve"> Group, of the Eocene age, belongs to the low sea system phase with </w:t>
      </w:r>
      <w:proofErr w:type="spellStart"/>
      <w:r w:rsidR="00BE5D50" w:rsidRPr="00BE5D50">
        <w:rPr>
          <w:lang w:val="en-US"/>
        </w:rPr>
        <w:t>prograding</w:t>
      </w:r>
      <w:proofErr w:type="spellEnd"/>
      <w:r w:rsidRPr="00411857">
        <w:rPr>
          <w:lang w:val="en-US"/>
        </w:rPr>
        <w:t xml:space="preserve"> wedges and coastal onlap. The main reservoirs of this </w:t>
      </w:r>
      <w:r w:rsidR="00BE5D50">
        <w:rPr>
          <w:lang w:val="en-US"/>
        </w:rPr>
        <w:t>f</w:t>
      </w:r>
      <w:r w:rsidRPr="00411857">
        <w:rPr>
          <w:lang w:val="en-US"/>
        </w:rPr>
        <w:t xml:space="preserve">ormation are the </w:t>
      </w:r>
      <w:r w:rsidR="00BE5D50" w:rsidRPr="00BE5D50">
        <w:rPr>
          <w:lang w:val="en-US"/>
        </w:rPr>
        <w:t>turbidites</w:t>
      </w:r>
      <w:r w:rsidRPr="00411857">
        <w:rPr>
          <w:lang w:val="en-US"/>
        </w:rPr>
        <w:t xml:space="preserve"> of the </w:t>
      </w:r>
      <w:proofErr w:type="spellStart"/>
      <w:r w:rsidRPr="00411857">
        <w:rPr>
          <w:lang w:val="en-US"/>
        </w:rPr>
        <w:t>Maresias</w:t>
      </w:r>
      <w:proofErr w:type="spellEnd"/>
      <w:r w:rsidRPr="00411857">
        <w:rPr>
          <w:lang w:val="en-US"/>
        </w:rPr>
        <w:t xml:space="preserve"> Member. This study aimed to propose a workflow to map and characterize these turbidites in the </w:t>
      </w:r>
      <w:proofErr w:type="spellStart"/>
      <w:r w:rsidRPr="00411857">
        <w:rPr>
          <w:lang w:val="en-US"/>
        </w:rPr>
        <w:t>Baúna</w:t>
      </w:r>
      <w:proofErr w:type="spellEnd"/>
      <w:r w:rsidRPr="00411857">
        <w:rPr>
          <w:lang w:val="en-US"/>
        </w:rPr>
        <w:t xml:space="preserve"> and </w:t>
      </w:r>
      <w:proofErr w:type="spellStart"/>
      <w:r w:rsidRPr="00411857">
        <w:rPr>
          <w:lang w:val="en-US"/>
        </w:rPr>
        <w:t>Piracaba</w:t>
      </w:r>
      <w:proofErr w:type="spellEnd"/>
      <w:r w:rsidRPr="00411857">
        <w:rPr>
          <w:lang w:val="en-US"/>
        </w:rPr>
        <w:t xml:space="preserve"> fields. To achieve this purpose, the methodology was divided into interpretation and estimation of petrophysical properties in the wells, </w:t>
      </w:r>
      <w:r w:rsidR="00DC1E98" w:rsidRPr="0068694C">
        <w:rPr>
          <w:lang w:val="en-US"/>
        </w:rPr>
        <w:t>seismic well</w:t>
      </w:r>
      <w:r w:rsidR="00DC1E98" w:rsidRPr="0068694C">
        <w:rPr>
          <w:b/>
          <w:bCs/>
          <w:lang w:val="en-US"/>
        </w:rPr>
        <w:t xml:space="preserve"> </w:t>
      </w:r>
      <w:r w:rsidR="00DC1E98" w:rsidRPr="0068694C">
        <w:rPr>
          <w:lang w:val="en-US"/>
        </w:rPr>
        <w:t>tie</w:t>
      </w:r>
      <w:r w:rsidR="00DC1E98" w:rsidRPr="00411857">
        <w:rPr>
          <w:lang w:val="en-US"/>
        </w:rPr>
        <w:t xml:space="preserve"> </w:t>
      </w:r>
      <w:r w:rsidRPr="00411857">
        <w:rPr>
          <w:lang w:val="en-US"/>
        </w:rPr>
        <w:t>and use of RMS amplitude and relative acoustic impedance attributes. In several wells, the reservoirs do not exceed a few tens of meters in thickness, with this, the mapping of the turbidites was possible due to the inversion method chosen to increase the seismic resolution. The well logs showed a good correlation between the acoustic impedance and the porosity, and that reservoirs are two turbiditic lobes that have low acoustic impedance and high porosity.</w:t>
      </w:r>
    </w:p>
    <w:p w14:paraId="46D77366" w14:textId="77777777" w:rsidR="000503CD" w:rsidRPr="00411857" w:rsidRDefault="000503CD" w:rsidP="000503CD">
      <w:pPr>
        <w:pStyle w:val="Corpodetexto"/>
        <w:rPr>
          <w:lang w:val="en-US"/>
        </w:rPr>
      </w:pPr>
    </w:p>
    <w:p w14:paraId="5272DCDB" w14:textId="0E7B2CB5" w:rsidR="000503CD" w:rsidRPr="00A34B6C" w:rsidRDefault="000503CD" w:rsidP="000503CD">
      <w:pPr>
        <w:pStyle w:val="Ttulo1"/>
        <w:spacing w:after="120"/>
      </w:pPr>
      <w:r w:rsidRPr="00A34B6C">
        <w:t>Introduc</w:t>
      </w:r>
      <w:r w:rsidR="006952A6">
        <w:t>tion</w:t>
      </w:r>
      <w:r w:rsidRPr="00A34B6C">
        <w:t xml:space="preserve"> </w:t>
      </w:r>
    </w:p>
    <w:p w14:paraId="1B8F9E5E" w14:textId="45F582A1" w:rsidR="000503CD" w:rsidRPr="00A34B6C" w:rsidRDefault="000503CD" w:rsidP="000503CD">
      <w:pPr>
        <w:pStyle w:val="Corpodetexto3"/>
        <w:spacing w:before="120"/>
        <w:rPr>
          <w:rFonts w:ascii="Arial" w:hAnsi="Arial" w:cs="Arial"/>
          <w:sz w:val="18"/>
          <w:szCs w:val="18"/>
          <w:lang w:val="en-US"/>
        </w:rPr>
      </w:pPr>
      <w:r w:rsidRPr="00A34B6C">
        <w:rPr>
          <w:rFonts w:ascii="Arial" w:hAnsi="Arial" w:cs="Arial"/>
          <w:sz w:val="18"/>
          <w:szCs w:val="18"/>
          <w:lang w:val="en-US"/>
        </w:rPr>
        <w:t xml:space="preserve">The reservoir characterization has become essential for the optimization process of hydrocarbon field management </w:t>
      </w:r>
      <w:r>
        <w:rPr>
          <w:rFonts w:ascii="Arial" w:hAnsi="Arial" w:cs="Arial"/>
          <w:sz w:val="18"/>
          <w:szCs w:val="18"/>
          <w:lang w:val="en-US"/>
        </w:rPr>
        <w:t>because</w:t>
      </w:r>
      <w:r w:rsidRPr="00A34B6C">
        <w:rPr>
          <w:rFonts w:ascii="Arial" w:hAnsi="Arial" w:cs="Arial"/>
          <w:sz w:val="18"/>
          <w:szCs w:val="18"/>
          <w:lang w:val="en-US"/>
        </w:rPr>
        <w:t xml:space="preserve"> it reduces the risks and costs of exploration and development</w:t>
      </w:r>
      <w:r>
        <w:rPr>
          <w:rFonts w:ascii="Arial" w:hAnsi="Arial" w:cs="Arial"/>
          <w:sz w:val="18"/>
          <w:szCs w:val="18"/>
          <w:lang w:val="en-US"/>
        </w:rPr>
        <w:t>.</w:t>
      </w:r>
      <w:r w:rsidRPr="00A34B6C">
        <w:rPr>
          <w:rFonts w:ascii="Arial" w:hAnsi="Arial" w:cs="Arial"/>
          <w:sz w:val="18"/>
          <w:szCs w:val="18"/>
          <w:lang w:val="en-US"/>
        </w:rPr>
        <w:t xml:space="preserve"> Characterization involves the production of a model that represents all the necessary features to depict the storage of hydrocarbons present in the field (Oil Field Glossary</w:t>
      </w:r>
      <w:r w:rsidR="00C617A6">
        <w:rPr>
          <w:rFonts w:ascii="Arial" w:hAnsi="Arial" w:cs="Arial"/>
          <w:sz w:val="18"/>
          <w:szCs w:val="18"/>
          <w:lang w:val="en-US"/>
        </w:rPr>
        <w:t>,</w:t>
      </w:r>
      <w:r w:rsidRPr="00A34B6C">
        <w:rPr>
          <w:rFonts w:ascii="Arial" w:hAnsi="Arial" w:cs="Arial"/>
          <w:sz w:val="18"/>
          <w:szCs w:val="18"/>
          <w:lang w:val="en-US"/>
        </w:rPr>
        <w:t xml:space="preserve"> 2006).</w:t>
      </w:r>
    </w:p>
    <w:p w14:paraId="6FBB49B2" w14:textId="39989F91" w:rsidR="000503CD" w:rsidRPr="00A34B6C" w:rsidRDefault="000503CD" w:rsidP="000503CD">
      <w:pPr>
        <w:pStyle w:val="Corpodetexto3"/>
        <w:spacing w:before="120"/>
        <w:rPr>
          <w:rFonts w:ascii="Arial" w:hAnsi="Arial" w:cs="Arial"/>
          <w:sz w:val="18"/>
          <w:szCs w:val="18"/>
          <w:lang w:val="en-US"/>
        </w:rPr>
      </w:pPr>
      <w:r w:rsidRPr="00A34B6C">
        <w:rPr>
          <w:rFonts w:ascii="Arial" w:hAnsi="Arial" w:cs="Arial"/>
          <w:sz w:val="18"/>
          <w:szCs w:val="18"/>
          <w:lang w:val="en-US"/>
        </w:rPr>
        <w:t xml:space="preserve">Well logs are indispensable tools for reservoir property characterization </w:t>
      </w:r>
      <w:r>
        <w:rPr>
          <w:rFonts w:ascii="Arial" w:hAnsi="Arial" w:cs="Arial"/>
          <w:sz w:val="18"/>
          <w:szCs w:val="18"/>
          <w:lang w:val="en-US"/>
        </w:rPr>
        <w:t>because</w:t>
      </w:r>
      <w:r w:rsidRPr="00A34B6C">
        <w:rPr>
          <w:rFonts w:ascii="Arial" w:hAnsi="Arial" w:cs="Arial"/>
          <w:sz w:val="18"/>
          <w:szCs w:val="18"/>
          <w:lang w:val="en-US"/>
        </w:rPr>
        <w:t xml:space="preserve"> they provide patterns for correlation between wells, geological mapping, and definition of the geometry of bodies and sedimentary environments. Each log measures a specific type of geophysical signal based on a physical property of the rock</w:t>
      </w:r>
      <w:r w:rsidR="00AF351C">
        <w:rPr>
          <w:rFonts w:ascii="Arial" w:hAnsi="Arial" w:cs="Arial"/>
          <w:sz w:val="18"/>
          <w:szCs w:val="18"/>
          <w:lang w:val="en-US"/>
        </w:rPr>
        <w:t xml:space="preserve"> (</w:t>
      </w:r>
      <w:r w:rsidR="009962F9">
        <w:rPr>
          <w:rFonts w:ascii="Arial" w:hAnsi="Arial" w:cs="Arial"/>
          <w:sz w:val="18"/>
          <w:szCs w:val="18"/>
          <w:lang w:val="en-US"/>
        </w:rPr>
        <w:t>Rider, 1996</w:t>
      </w:r>
      <w:r w:rsidR="00AF351C">
        <w:rPr>
          <w:rFonts w:ascii="Arial" w:hAnsi="Arial" w:cs="Arial"/>
          <w:sz w:val="18"/>
          <w:szCs w:val="18"/>
          <w:lang w:val="en-US"/>
        </w:rPr>
        <w:t>)</w:t>
      </w:r>
      <w:r w:rsidRPr="00A34B6C">
        <w:rPr>
          <w:rFonts w:ascii="Arial" w:hAnsi="Arial" w:cs="Arial"/>
          <w:sz w:val="18"/>
          <w:szCs w:val="18"/>
          <w:lang w:val="en-US"/>
        </w:rPr>
        <w:t xml:space="preserve">.  </w:t>
      </w:r>
    </w:p>
    <w:p w14:paraId="7F0731CA" w14:textId="305AE46C" w:rsidR="000503CD" w:rsidRPr="00D94FFB" w:rsidRDefault="000503CD" w:rsidP="000503CD">
      <w:pPr>
        <w:pStyle w:val="Corpodetexto3"/>
        <w:spacing w:before="120"/>
        <w:rPr>
          <w:rFonts w:ascii="Arial" w:hAnsi="Arial" w:cs="Arial"/>
          <w:sz w:val="18"/>
          <w:szCs w:val="18"/>
          <w:lang w:val="en-US"/>
        </w:rPr>
      </w:pPr>
      <w:r w:rsidRPr="00A34B6C">
        <w:rPr>
          <w:rFonts w:ascii="Arial" w:hAnsi="Arial" w:cs="Arial"/>
          <w:sz w:val="18"/>
          <w:szCs w:val="18"/>
          <w:lang w:val="en-US"/>
        </w:rPr>
        <w:t>There has been growing interest in seismic inversion in recent years, pri</w:t>
      </w:r>
      <w:r>
        <w:rPr>
          <w:rFonts w:ascii="Arial" w:hAnsi="Arial" w:cs="Arial"/>
          <w:sz w:val="18"/>
          <w:szCs w:val="18"/>
          <w:lang w:val="en-US"/>
        </w:rPr>
        <w:t>ncipally</w:t>
      </w:r>
      <w:r w:rsidRPr="00A34B6C">
        <w:rPr>
          <w:rFonts w:ascii="Arial" w:hAnsi="Arial" w:cs="Arial"/>
          <w:sz w:val="18"/>
          <w:szCs w:val="18"/>
          <w:lang w:val="en-US"/>
        </w:rPr>
        <w:t xml:space="preserve"> because it allows for the inference of geological and petrophysical information from seismic data in the early stages of reservoir study</w:t>
      </w:r>
      <w:r w:rsidR="00AF351C">
        <w:rPr>
          <w:rFonts w:ascii="Arial" w:hAnsi="Arial" w:cs="Arial"/>
          <w:sz w:val="18"/>
          <w:szCs w:val="18"/>
          <w:lang w:val="en-US"/>
        </w:rPr>
        <w:t xml:space="preserve"> (</w:t>
      </w:r>
      <w:proofErr w:type="spellStart"/>
      <w:r w:rsidR="00AF351C">
        <w:rPr>
          <w:rFonts w:ascii="Arial" w:hAnsi="Arial" w:cs="Arial"/>
          <w:sz w:val="18"/>
          <w:szCs w:val="18"/>
          <w:lang w:val="en-US"/>
        </w:rPr>
        <w:t>Simm</w:t>
      </w:r>
      <w:proofErr w:type="spellEnd"/>
      <w:r w:rsidR="00AF351C">
        <w:rPr>
          <w:rFonts w:ascii="Arial" w:hAnsi="Arial" w:cs="Arial"/>
          <w:sz w:val="18"/>
          <w:szCs w:val="18"/>
          <w:lang w:val="en-US"/>
        </w:rPr>
        <w:t xml:space="preserve"> e Bacon, 2014)</w:t>
      </w:r>
      <w:r w:rsidRPr="00A34B6C">
        <w:rPr>
          <w:rFonts w:ascii="Arial" w:hAnsi="Arial" w:cs="Arial"/>
          <w:sz w:val="18"/>
          <w:szCs w:val="18"/>
          <w:lang w:val="en-US"/>
        </w:rPr>
        <w:t xml:space="preserve">. The evolution of inversion techniques is driven by the increasing challenges of the oil industry. </w:t>
      </w:r>
      <w:r w:rsidRPr="00D94FFB">
        <w:rPr>
          <w:rFonts w:ascii="Arial" w:hAnsi="Arial" w:cs="Arial"/>
          <w:sz w:val="18"/>
          <w:szCs w:val="18"/>
          <w:lang w:val="en-US"/>
        </w:rPr>
        <w:t>Currently, seismic data inversion for acoustic impedance is the most used technique to assist in reservoir characterization. It has proven to be highly efficient in estimating petrophysical parameters through the integration of well log</w:t>
      </w:r>
      <w:r>
        <w:rPr>
          <w:rFonts w:ascii="Arial" w:hAnsi="Arial" w:cs="Arial"/>
          <w:sz w:val="18"/>
          <w:szCs w:val="18"/>
          <w:lang w:val="en-US"/>
        </w:rPr>
        <w:t xml:space="preserve"> data</w:t>
      </w:r>
      <w:r w:rsidR="00AF351C">
        <w:rPr>
          <w:rFonts w:ascii="Arial" w:hAnsi="Arial" w:cs="Arial"/>
          <w:sz w:val="18"/>
          <w:szCs w:val="18"/>
          <w:lang w:val="en-US"/>
        </w:rPr>
        <w:t xml:space="preserve"> (</w:t>
      </w:r>
      <w:r w:rsidR="009962F9">
        <w:rPr>
          <w:rFonts w:ascii="Arial" w:hAnsi="Arial" w:cs="Arial"/>
          <w:sz w:val="18"/>
          <w:szCs w:val="18"/>
          <w:lang w:val="en-US"/>
        </w:rPr>
        <w:t xml:space="preserve">Ferreira e Lupinacci, 2018; </w:t>
      </w:r>
      <w:r w:rsidR="00AF351C">
        <w:rPr>
          <w:rFonts w:ascii="Arial" w:hAnsi="Arial" w:cs="Arial"/>
          <w:sz w:val="18"/>
          <w:szCs w:val="18"/>
          <w:lang w:val="en-US"/>
        </w:rPr>
        <w:t>Lupinacci et al., 2020)</w:t>
      </w:r>
      <w:r w:rsidRPr="00D94FFB">
        <w:rPr>
          <w:rFonts w:ascii="Arial" w:hAnsi="Arial" w:cs="Arial"/>
          <w:sz w:val="18"/>
          <w:szCs w:val="18"/>
          <w:lang w:val="en-US"/>
        </w:rPr>
        <w:t>.</w:t>
      </w:r>
    </w:p>
    <w:p w14:paraId="7EACF01A" w14:textId="52E9F392" w:rsidR="000503CD" w:rsidRDefault="000503CD" w:rsidP="000503CD">
      <w:pPr>
        <w:pStyle w:val="Corpodetexto3"/>
        <w:spacing w:before="120"/>
        <w:rPr>
          <w:rFonts w:ascii="Arial" w:hAnsi="Arial" w:cs="Arial"/>
          <w:sz w:val="18"/>
          <w:szCs w:val="18"/>
          <w:lang w:val="en-US"/>
        </w:rPr>
      </w:pPr>
      <w:r w:rsidRPr="00D94FFB">
        <w:rPr>
          <w:rFonts w:ascii="Arial" w:hAnsi="Arial" w:cs="Arial"/>
          <w:sz w:val="18"/>
          <w:szCs w:val="18"/>
          <w:lang w:val="en-US"/>
        </w:rPr>
        <w:t xml:space="preserve">The present study focuses on the detailed characterization of the turbidite reservoirs in the </w:t>
      </w:r>
      <w:proofErr w:type="spellStart"/>
      <w:r w:rsidRPr="00D94FFB">
        <w:rPr>
          <w:rFonts w:ascii="Arial" w:hAnsi="Arial" w:cs="Arial"/>
          <w:sz w:val="18"/>
          <w:szCs w:val="18"/>
          <w:lang w:val="en-US"/>
        </w:rPr>
        <w:t>Baúna</w:t>
      </w:r>
      <w:proofErr w:type="spellEnd"/>
      <w:r w:rsidRPr="00D94FFB">
        <w:rPr>
          <w:rFonts w:ascii="Arial" w:hAnsi="Arial" w:cs="Arial"/>
          <w:sz w:val="18"/>
          <w:szCs w:val="18"/>
          <w:lang w:val="en-US"/>
        </w:rPr>
        <w:t xml:space="preserve"> and </w:t>
      </w:r>
      <w:proofErr w:type="spellStart"/>
      <w:r w:rsidRPr="00D94FFB">
        <w:rPr>
          <w:rFonts w:ascii="Arial" w:hAnsi="Arial" w:cs="Arial"/>
          <w:sz w:val="18"/>
          <w:szCs w:val="18"/>
          <w:lang w:val="en-US"/>
        </w:rPr>
        <w:t>Piracaba</w:t>
      </w:r>
      <w:proofErr w:type="spellEnd"/>
      <w:r w:rsidRPr="00D94FFB">
        <w:rPr>
          <w:rFonts w:ascii="Arial" w:hAnsi="Arial" w:cs="Arial"/>
          <w:sz w:val="18"/>
          <w:szCs w:val="18"/>
          <w:lang w:val="en-US"/>
        </w:rPr>
        <w:t xml:space="preserve"> fields. The studied reservoirs correspond to the Oligocene siliciclastic sandstones of the </w:t>
      </w:r>
      <w:proofErr w:type="spellStart"/>
      <w:r w:rsidRPr="00D94FFB">
        <w:rPr>
          <w:rFonts w:ascii="Arial" w:hAnsi="Arial" w:cs="Arial"/>
          <w:sz w:val="18"/>
          <w:szCs w:val="18"/>
          <w:lang w:val="en-US"/>
        </w:rPr>
        <w:t>Marambaia</w:t>
      </w:r>
      <w:proofErr w:type="spellEnd"/>
      <w:r w:rsidRPr="00D94FFB">
        <w:rPr>
          <w:rFonts w:ascii="Arial" w:hAnsi="Arial" w:cs="Arial"/>
          <w:sz w:val="18"/>
          <w:szCs w:val="18"/>
          <w:lang w:val="en-US"/>
        </w:rPr>
        <w:t xml:space="preserve"> Formation (</w:t>
      </w:r>
      <w:proofErr w:type="spellStart"/>
      <w:r w:rsidRPr="00D94FFB">
        <w:rPr>
          <w:rFonts w:ascii="Arial" w:hAnsi="Arial" w:cs="Arial"/>
          <w:sz w:val="18"/>
          <w:szCs w:val="18"/>
          <w:lang w:val="en-US"/>
        </w:rPr>
        <w:t>Maresias</w:t>
      </w:r>
      <w:proofErr w:type="spellEnd"/>
      <w:r w:rsidRPr="00D94FFB">
        <w:rPr>
          <w:rFonts w:ascii="Arial" w:hAnsi="Arial" w:cs="Arial"/>
          <w:sz w:val="18"/>
          <w:szCs w:val="18"/>
          <w:lang w:val="en-US"/>
        </w:rPr>
        <w:t xml:space="preserve"> Member), which are associated with a complex system </w:t>
      </w:r>
      <w:r>
        <w:rPr>
          <w:rFonts w:ascii="Arial" w:hAnsi="Arial" w:cs="Arial"/>
          <w:sz w:val="18"/>
          <w:szCs w:val="18"/>
          <w:lang w:val="en-US"/>
        </w:rPr>
        <w:t>turbiditic</w:t>
      </w:r>
      <w:r w:rsidRPr="00D94FFB">
        <w:rPr>
          <w:rFonts w:ascii="Arial" w:hAnsi="Arial" w:cs="Arial"/>
          <w:sz w:val="18"/>
          <w:szCs w:val="18"/>
          <w:lang w:val="en-US"/>
        </w:rPr>
        <w:t xml:space="preserve">. The aim </w:t>
      </w:r>
      <w:r w:rsidR="009962F9">
        <w:rPr>
          <w:rFonts w:ascii="Arial" w:hAnsi="Arial" w:cs="Arial"/>
          <w:sz w:val="18"/>
          <w:szCs w:val="18"/>
          <w:lang w:val="en-US"/>
        </w:rPr>
        <w:t xml:space="preserve">is </w:t>
      </w:r>
      <w:r w:rsidR="009962F9" w:rsidRPr="009962F9">
        <w:rPr>
          <w:rFonts w:ascii="Arial" w:hAnsi="Arial" w:cs="Arial"/>
          <w:sz w:val="18"/>
          <w:szCs w:val="18"/>
          <w:lang w:val="en-US"/>
        </w:rPr>
        <w:t>to identify and characterize the geobody of the turbiditic system</w:t>
      </w:r>
      <w:r w:rsidRPr="00D94FFB">
        <w:rPr>
          <w:rFonts w:ascii="Arial" w:hAnsi="Arial" w:cs="Arial"/>
          <w:sz w:val="18"/>
          <w:szCs w:val="18"/>
          <w:lang w:val="en-US"/>
        </w:rPr>
        <w:t xml:space="preserve"> in terms of </w:t>
      </w:r>
      <w:r w:rsidR="006F41DB">
        <w:rPr>
          <w:rFonts w:ascii="Arial" w:hAnsi="Arial" w:cs="Arial"/>
          <w:sz w:val="18"/>
          <w:szCs w:val="18"/>
          <w:lang w:val="en-US"/>
        </w:rPr>
        <w:t xml:space="preserve">relative </w:t>
      </w:r>
      <w:r w:rsidRPr="00D94FFB">
        <w:rPr>
          <w:rFonts w:ascii="Arial" w:hAnsi="Arial" w:cs="Arial"/>
          <w:sz w:val="18"/>
          <w:szCs w:val="18"/>
          <w:lang w:val="en-US"/>
        </w:rPr>
        <w:t>acoustic impedance</w:t>
      </w:r>
      <w:r w:rsidR="009962F9">
        <w:rPr>
          <w:rFonts w:ascii="Arial" w:hAnsi="Arial" w:cs="Arial"/>
          <w:sz w:val="18"/>
          <w:szCs w:val="18"/>
          <w:lang w:val="en-US"/>
        </w:rPr>
        <w:t xml:space="preserve"> and porosity</w:t>
      </w:r>
      <w:r w:rsidRPr="00D94FFB">
        <w:rPr>
          <w:rFonts w:ascii="Arial" w:hAnsi="Arial" w:cs="Arial"/>
          <w:sz w:val="18"/>
          <w:szCs w:val="18"/>
          <w:lang w:val="en-US"/>
        </w:rPr>
        <w:t>.</w:t>
      </w:r>
    </w:p>
    <w:p w14:paraId="4B840863" w14:textId="77777777" w:rsidR="000503CD" w:rsidRPr="00D94FFB" w:rsidRDefault="000503CD" w:rsidP="000503CD">
      <w:pPr>
        <w:pStyle w:val="Corpodetexto3"/>
        <w:spacing w:before="120"/>
        <w:rPr>
          <w:rFonts w:ascii="Arial" w:hAnsi="Arial" w:cs="Arial"/>
          <w:sz w:val="18"/>
          <w:szCs w:val="18"/>
          <w:lang w:val="en-US"/>
        </w:rPr>
      </w:pPr>
    </w:p>
    <w:p w14:paraId="23428A05" w14:textId="77777777" w:rsidR="000503CD" w:rsidRPr="00D94FFB" w:rsidRDefault="000503CD" w:rsidP="000503CD">
      <w:pPr>
        <w:pStyle w:val="Ttulo1"/>
      </w:pPr>
      <w:r w:rsidRPr="00D94FFB">
        <w:t xml:space="preserve">Methodology </w:t>
      </w:r>
    </w:p>
    <w:p w14:paraId="4AB5A34E" w14:textId="3C5B0A1A" w:rsidR="000503CD" w:rsidRPr="00930FDA" w:rsidRDefault="006F41DB" w:rsidP="000503CD">
      <w:pPr>
        <w:pStyle w:val="Corpodetexto"/>
        <w:rPr>
          <w:lang w:val="en-US"/>
        </w:rPr>
      </w:pPr>
      <w:r>
        <w:rPr>
          <w:lang w:val="en-US"/>
        </w:rPr>
        <w:t>We used</w:t>
      </w:r>
      <w:r w:rsidR="000503CD" w:rsidRPr="00081506">
        <w:rPr>
          <w:lang w:val="en-US"/>
        </w:rPr>
        <w:t xml:space="preserve"> data from twelve wells and a seismic volume </w:t>
      </w:r>
      <w:r>
        <w:rPr>
          <w:lang w:val="en-US"/>
        </w:rPr>
        <w:t>for this study</w:t>
      </w:r>
      <w:r w:rsidR="000503CD" w:rsidRPr="00081506">
        <w:rPr>
          <w:lang w:val="en-US"/>
        </w:rPr>
        <w:t xml:space="preserve">. </w:t>
      </w:r>
      <w:r w:rsidR="000503CD" w:rsidRPr="00930FDA">
        <w:rPr>
          <w:lang w:val="en-US"/>
        </w:rPr>
        <w:t xml:space="preserve">The seismic data employed is a post-stack </w:t>
      </w:r>
      <w:r w:rsidR="00477840" w:rsidRPr="00930FDA">
        <w:rPr>
          <w:lang w:val="en-US"/>
        </w:rPr>
        <w:t>time migrated</w:t>
      </w:r>
      <w:r w:rsidR="000503CD" w:rsidRPr="00930FDA">
        <w:rPr>
          <w:lang w:val="en-US"/>
        </w:rPr>
        <w:t xml:space="preserve"> (PSTM) 3D volume covering an area of</w:t>
      </w:r>
      <w:r w:rsidR="000503CD">
        <w:rPr>
          <w:lang w:val="en-US"/>
        </w:rPr>
        <w:t xml:space="preserve"> </w:t>
      </w:r>
      <w:r w:rsidR="000503CD" w:rsidRPr="00930FDA">
        <w:rPr>
          <w:lang w:val="en-US"/>
        </w:rPr>
        <w:t xml:space="preserve">100 </w:t>
      </w:r>
      <m:oMath>
        <m:sSup>
          <m:sSupPr>
            <m:ctrlPr>
              <w:rPr>
                <w:rFonts w:ascii="Cambria Math" w:hAnsi="Cambria Math"/>
                <w:i/>
              </w:rPr>
            </m:ctrlPr>
          </m:sSupPr>
          <m:e>
            <m:r>
              <w:rPr>
                <w:rFonts w:ascii="Cambria Math" w:hAnsi="Cambria Math"/>
              </w:rPr>
              <m:t>km</m:t>
            </m:r>
          </m:e>
          <m:sup>
            <m:r>
              <w:rPr>
                <w:rFonts w:ascii="Cambria Math" w:hAnsi="Cambria Math"/>
                <w:lang w:val="en-US"/>
              </w:rPr>
              <m:t>2</m:t>
            </m:r>
          </m:sup>
        </m:sSup>
      </m:oMath>
      <w:r w:rsidR="00C617A6" w:rsidRPr="00C617A6">
        <w:rPr>
          <w:lang w:val="en-US"/>
        </w:rPr>
        <w:t xml:space="preserve"> </w:t>
      </w:r>
      <w:r w:rsidR="00C617A6" w:rsidRPr="00930FDA">
        <w:rPr>
          <w:lang w:val="en-US"/>
        </w:rPr>
        <w:t>(Figure 1)</w:t>
      </w:r>
      <w:r w:rsidR="00C617A6">
        <w:rPr>
          <w:lang w:val="en-US"/>
        </w:rPr>
        <w:t>.</w:t>
      </w:r>
      <w:r w:rsidR="000503CD" w:rsidRPr="00930FDA">
        <w:rPr>
          <w:lang w:val="en-US"/>
        </w:rPr>
        <w:t xml:space="preserve"> </w:t>
      </w:r>
    </w:p>
    <w:p w14:paraId="3546B7BC" w14:textId="77777777" w:rsidR="000503CD" w:rsidRDefault="000503CD" w:rsidP="000503CD">
      <w:pPr>
        <w:pStyle w:val="Corpodetexto"/>
        <w:jc w:val="center"/>
      </w:pPr>
      <w:r>
        <w:rPr>
          <w:noProof/>
        </w:rPr>
        <w:drawing>
          <wp:inline distT="0" distB="0" distL="0" distR="0" wp14:anchorId="6AFCF68B" wp14:editId="50472ADB">
            <wp:extent cx="2628265" cy="2351636"/>
            <wp:effectExtent l="0" t="0" r="635" b="0"/>
            <wp:docPr id="1807348549"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48549" name="Imagem 2" descr="Diagrama&#10;&#10;Descrição gerada automaticamente"/>
                    <pic:cNvPicPr/>
                  </pic:nvPicPr>
                  <pic:blipFill rotWithShape="1">
                    <a:blip r:embed="rId14" cstate="print">
                      <a:extLst>
                        <a:ext uri="{28A0092B-C50C-407E-A947-70E740481C1C}">
                          <a14:useLocalDpi xmlns:a14="http://schemas.microsoft.com/office/drawing/2010/main" val="0"/>
                        </a:ext>
                      </a:extLst>
                    </a:blip>
                    <a:srcRect b="13098"/>
                    <a:stretch/>
                  </pic:blipFill>
                  <pic:spPr bwMode="auto">
                    <a:xfrm>
                      <a:off x="0" y="0"/>
                      <a:ext cx="2650074" cy="2371150"/>
                    </a:xfrm>
                    <a:prstGeom prst="rect">
                      <a:avLst/>
                    </a:prstGeom>
                    <a:ln>
                      <a:noFill/>
                    </a:ln>
                    <a:extLst>
                      <a:ext uri="{53640926-AAD7-44D8-BBD7-CCE9431645EC}">
                        <a14:shadowObscured xmlns:a14="http://schemas.microsoft.com/office/drawing/2010/main"/>
                      </a:ext>
                    </a:extLst>
                  </pic:spPr>
                </pic:pic>
              </a:graphicData>
            </a:graphic>
          </wp:inline>
        </w:drawing>
      </w:r>
    </w:p>
    <w:p w14:paraId="75037D50" w14:textId="613DBC22" w:rsidR="000503CD" w:rsidRDefault="000503CD" w:rsidP="000503CD">
      <w:pPr>
        <w:pStyle w:val="Legenda"/>
        <w:spacing w:before="120"/>
        <w:jc w:val="center"/>
        <w:rPr>
          <w:rFonts w:ascii="Arial" w:hAnsi="Arial" w:cs="Arial"/>
          <w:b w:val="0"/>
          <w:bCs w:val="0"/>
          <w:sz w:val="18"/>
          <w:szCs w:val="18"/>
          <w:lang w:val="en-US"/>
        </w:rPr>
      </w:pPr>
      <w:r w:rsidRPr="00976FC4">
        <w:rPr>
          <w:rFonts w:ascii="Arial" w:hAnsi="Arial" w:cs="Arial"/>
          <w:sz w:val="18"/>
          <w:szCs w:val="18"/>
          <w:lang w:val="en-US"/>
        </w:rPr>
        <w:t xml:space="preserve">Figure </w:t>
      </w:r>
      <w:r w:rsidRPr="00976FC4">
        <w:rPr>
          <w:rFonts w:ascii="Arial" w:hAnsi="Arial" w:cs="Arial"/>
          <w:sz w:val="18"/>
          <w:szCs w:val="18"/>
        </w:rPr>
        <w:fldChar w:fldCharType="begin"/>
      </w:r>
      <w:r w:rsidRPr="00976FC4">
        <w:rPr>
          <w:rFonts w:ascii="Arial" w:hAnsi="Arial" w:cs="Arial"/>
          <w:sz w:val="18"/>
          <w:szCs w:val="18"/>
          <w:lang w:val="en-US"/>
        </w:rPr>
        <w:instrText xml:space="preserve"> SEQ Figura \* ARABIC </w:instrText>
      </w:r>
      <w:r w:rsidRPr="00976FC4">
        <w:rPr>
          <w:rFonts w:ascii="Arial" w:hAnsi="Arial" w:cs="Arial"/>
          <w:sz w:val="18"/>
          <w:szCs w:val="18"/>
        </w:rPr>
        <w:fldChar w:fldCharType="separate"/>
      </w:r>
      <w:r w:rsidR="00F120FC">
        <w:rPr>
          <w:rFonts w:ascii="Arial" w:hAnsi="Arial" w:cs="Arial"/>
          <w:noProof/>
          <w:sz w:val="18"/>
          <w:szCs w:val="18"/>
          <w:lang w:val="en-US"/>
        </w:rPr>
        <w:t>1</w:t>
      </w:r>
      <w:r w:rsidRPr="00976FC4">
        <w:rPr>
          <w:rFonts w:ascii="Arial" w:hAnsi="Arial" w:cs="Arial"/>
          <w:sz w:val="18"/>
          <w:szCs w:val="18"/>
        </w:rPr>
        <w:fldChar w:fldCharType="end"/>
      </w:r>
      <w:r w:rsidRPr="00976FC4">
        <w:rPr>
          <w:rFonts w:ascii="Arial" w:hAnsi="Arial" w:cs="Arial"/>
          <w:sz w:val="18"/>
          <w:szCs w:val="18"/>
          <w:lang w:val="en-US"/>
        </w:rPr>
        <w:t xml:space="preserve">: </w:t>
      </w:r>
      <w:r w:rsidRPr="00976FC4">
        <w:rPr>
          <w:rFonts w:ascii="Arial" w:hAnsi="Arial" w:cs="Arial"/>
          <w:b w:val="0"/>
          <w:bCs w:val="0"/>
          <w:sz w:val="18"/>
          <w:szCs w:val="18"/>
          <w:lang w:val="en-US"/>
        </w:rPr>
        <w:t>Location of the study area.</w:t>
      </w:r>
    </w:p>
    <w:p w14:paraId="56CFCF22" w14:textId="77777777" w:rsidR="00260BA6" w:rsidRDefault="00260BA6" w:rsidP="00260BA6">
      <w:pPr>
        <w:rPr>
          <w:lang w:val="en-US"/>
        </w:rPr>
      </w:pPr>
    </w:p>
    <w:p w14:paraId="22D1BFD5" w14:textId="77777777" w:rsidR="00260BA6" w:rsidRDefault="00260BA6" w:rsidP="00260BA6">
      <w:pPr>
        <w:rPr>
          <w:lang w:val="en-US"/>
        </w:rPr>
      </w:pPr>
    </w:p>
    <w:p w14:paraId="5079C754" w14:textId="0B9F6B67" w:rsidR="00C617A6" w:rsidRDefault="00C617A6">
      <w:pPr>
        <w:rPr>
          <w:lang w:val="en-US"/>
        </w:rPr>
      </w:pPr>
      <w:r>
        <w:rPr>
          <w:lang w:val="en-US"/>
        </w:rPr>
        <w:br w:type="page"/>
      </w:r>
    </w:p>
    <w:p w14:paraId="7DE80DBB" w14:textId="6208AD1C" w:rsidR="00260BA6" w:rsidRPr="00260BA6" w:rsidRDefault="00C617A6" w:rsidP="00C617A6">
      <w:pPr>
        <w:pStyle w:val="Corpodetexto"/>
        <w:rPr>
          <w:lang w:val="en-US"/>
        </w:rPr>
      </w:pPr>
      <w:r w:rsidRPr="00930FDA">
        <w:rPr>
          <w:lang w:val="en-US"/>
        </w:rPr>
        <w:lastRenderedPageBreak/>
        <w:t>The methodology is divided into five steps</w:t>
      </w:r>
      <w:r>
        <w:rPr>
          <w:lang w:val="en-US"/>
        </w:rPr>
        <w:t>:</w:t>
      </w:r>
    </w:p>
    <w:p w14:paraId="5C01B001" w14:textId="77777777" w:rsidR="000503CD" w:rsidRPr="00C02F7F" w:rsidRDefault="000503CD" w:rsidP="000503CD">
      <w:pPr>
        <w:pStyle w:val="Corpodetexto"/>
        <w:numPr>
          <w:ilvl w:val="0"/>
          <w:numId w:val="1"/>
        </w:numPr>
        <w:ind w:left="360"/>
        <w:rPr>
          <w:b/>
          <w:bCs/>
        </w:rPr>
      </w:pPr>
      <w:proofErr w:type="spellStart"/>
      <w:r>
        <w:rPr>
          <w:b/>
          <w:bCs/>
        </w:rPr>
        <w:t>Interpretation</w:t>
      </w:r>
      <w:proofErr w:type="spellEnd"/>
      <w:r>
        <w:rPr>
          <w:b/>
          <w:bCs/>
        </w:rPr>
        <w:t xml:space="preserve"> </w:t>
      </w:r>
      <w:proofErr w:type="spellStart"/>
      <w:r>
        <w:rPr>
          <w:b/>
          <w:bCs/>
        </w:rPr>
        <w:t>of</w:t>
      </w:r>
      <w:proofErr w:type="spellEnd"/>
      <w:r>
        <w:rPr>
          <w:b/>
          <w:bCs/>
        </w:rPr>
        <w:t xml:space="preserve"> </w:t>
      </w:r>
      <w:proofErr w:type="spellStart"/>
      <w:r>
        <w:rPr>
          <w:b/>
          <w:bCs/>
        </w:rPr>
        <w:t>well</w:t>
      </w:r>
      <w:proofErr w:type="spellEnd"/>
      <w:r>
        <w:rPr>
          <w:b/>
          <w:bCs/>
        </w:rPr>
        <w:t xml:space="preserve"> logs</w:t>
      </w:r>
    </w:p>
    <w:p w14:paraId="4396F270" w14:textId="40537173" w:rsidR="004C28C1" w:rsidRDefault="000503CD" w:rsidP="000503CD">
      <w:pPr>
        <w:pStyle w:val="Corpodetexto"/>
        <w:rPr>
          <w:lang w:val="en-US"/>
        </w:rPr>
      </w:pPr>
      <w:r w:rsidRPr="00E15F94">
        <w:rPr>
          <w:lang w:val="en-US"/>
        </w:rPr>
        <w:t>The well data evaluation aimed to define reservoir zones and estimate properties such as clay volume, porosity, and saturation. For this purpose, the following well logs were used: gamma ray (GR), caliper (CAL), neutron porosity (NPHI), bulk density (RHOB), shallow, medium,</w:t>
      </w:r>
      <w:r>
        <w:rPr>
          <w:lang w:val="en-US"/>
        </w:rPr>
        <w:t xml:space="preserve"> and</w:t>
      </w:r>
      <w:r w:rsidRPr="00E15F94">
        <w:rPr>
          <w:lang w:val="en-US"/>
        </w:rPr>
        <w:t xml:space="preserve"> deep resistivit</w:t>
      </w:r>
      <w:r w:rsidR="00C617A6">
        <w:rPr>
          <w:lang w:val="en-US"/>
        </w:rPr>
        <w:t>ies</w:t>
      </w:r>
      <w:r w:rsidRPr="00E15F94">
        <w:rPr>
          <w:lang w:val="en-US"/>
        </w:rPr>
        <w:t xml:space="preserve"> (RES), and </w:t>
      </w:r>
      <w:r>
        <w:rPr>
          <w:lang w:val="en-US"/>
        </w:rPr>
        <w:t>sonic</w:t>
      </w:r>
      <w:r w:rsidRPr="00E15F94">
        <w:rPr>
          <w:lang w:val="en-US"/>
        </w:rPr>
        <w:t xml:space="preserve"> (</w:t>
      </w:r>
      <w:r>
        <w:rPr>
          <w:lang w:val="en-US"/>
        </w:rPr>
        <w:t>DTCO</w:t>
      </w:r>
      <w:r w:rsidRPr="00E15F94">
        <w:rPr>
          <w:lang w:val="en-US"/>
        </w:rPr>
        <w:t>)</w:t>
      </w:r>
    </w:p>
    <w:p w14:paraId="2B415358" w14:textId="5BF657B8" w:rsidR="000503CD" w:rsidRDefault="004C28C1" w:rsidP="000503CD">
      <w:pPr>
        <w:pStyle w:val="Corpodetexto"/>
        <w:rPr>
          <w:lang w:val="en-US"/>
        </w:rPr>
      </w:pPr>
      <w:r w:rsidRPr="004C28C1">
        <w:rPr>
          <w:lang w:val="en-US"/>
        </w:rPr>
        <w:t>The initial estimation was made using the gamma ray (GR) log, which measures the radioactivity of rocks</w:t>
      </w:r>
      <w:r w:rsidR="00CE22E7">
        <w:rPr>
          <w:lang w:val="en-US"/>
        </w:rPr>
        <w:t>:</w:t>
      </w:r>
      <w:r w:rsidR="00EE432A">
        <w:rPr>
          <w:lang w:val="en-US"/>
        </w:rPr>
        <w:t xml:space="preserve"> </w:t>
      </w:r>
    </w:p>
    <w:p w14:paraId="423BCB2E" w14:textId="512136C3" w:rsidR="004C28C1" w:rsidRDefault="004C28C1" w:rsidP="000503CD">
      <w:pPr>
        <w:pStyle w:val="Corpodetexto"/>
        <w:rPr>
          <w:lang w:val="en-US"/>
        </w:rPr>
      </w:pPr>
      <m:oMathPara>
        <m:oMath>
          <m:r>
            <m:rPr>
              <m:sty m:val="p"/>
            </m:rPr>
            <w:rPr>
              <w:rFonts w:ascii="Cambria Math" w:eastAsia="Cambria Math" w:hAnsi="Cambria Math" w:cs="Cambria Math"/>
              <w:szCs w:val="24"/>
            </w:rPr>
            <m:t>IGR=</m:t>
          </m:r>
          <m:f>
            <m:fPr>
              <m:ctrlPr>
                <w:rPr>
                  <w:rFonts w:ascii="Cambria Math" w:eastAsia="Cambria Math" w:hAnsi="Cambria Math" w:cs="Cambria Math"/>
                  <w:iCs/>
                  <w:szCs w:val="24"/>
                </w:rPr>
              </m:ctrlPr>
            </m:fPr>
            <m:num>
              <m:sSub>
                <m:sSubPr>
                  <m:ctrlPr>
                    <w:rPr>
                      <w:rFonts w:ascii="Cambria Math" w:eastAsia="Cambria Math" w:hAnsi="Cambria Math" w:cs="Cambria Math"/>
                      <w:iCs/>
                      <w:szCs w:val="24"/>
                    </w:rPr>
                  </m:ctrlPr>
                </m:sSubPr>
                <m:e>
                  <m:r>
                    <m:rPr>
                      <m:sty m:val="p"/>
                    </m:rPr>
                    <w:rPr>
                      <w:rFonts w:ascii="Cambria Math" w:eastAsia="Cambria Math" w:hAnsi="Cambria Math" w:cs="Cambria Math"/>
                      <w:szCs w:val="24"/>
                    </w:rPr>
                    <m:t>GR</m:t>
                  </m:r>
                </m:e>
                <m:sub>
                  <m:r>
                    <w:rPr>
                      <w:rFonts w:ascii="Cambria Math" w:eastAsia="Cambria Math" w:hAnsi="Cambria Math" w:cs="Cambria Math"/>
                      <w:szCs w:val="24"/>
                    </w:rPr>
                    <m:t>_log</m:t>
                  </m:r>
                </m:sub>
              </m:sSub>
              <m:r>
                <m:rPr>
                  <m:sty m:val="p"/>
                </m:rPr>
                <w:rPr>
                  <w:rFonts w:ascii="Cambria Math" w:eastAsia="Cambria Math" w:hAnsi="Cambria Math" w:cs="Cambria Math"/>
                  <w:szCs w:val="24"/>
                </w:rPr>
                <m:t>-</m:t>
              </m:r>
              <m:sSub>
                <m:sSubPr>
                  <m:ctrlPr>
                    <w:rPr>
                      <w:rFonts w:ascii="Cambria Math" w:eastAsia="Cambria Math" w:hAnsi="Cambria Math" w:cs="Cambria Math"/>
                      <w:iCs/>
                      <w:szCs w:val="24"/>
                    </w:rPr>
                  </m:ctrlPr>
                </m:sSubPr>
                <m:e>
                  <m:r>
                    <m:rPr>
                      <m:sty m:val="p"/>
                    </m:rPr>
                    <w:rPr>
                      <w:rFonts w:ascii="Cambria Math" w:eastAsia="Cambria Math" w:hAnsi="Cambria Math" w:cs="Cambria Math"/>
                      <w:szCs w:val="24"/>
                    </w:rPr>
                    <m:t>GR</m:t>
                  </m:r>
                </m:e>
                <m:sub>
                  <m:r>
                    <m:rPr>
                      <m:sty m:val="p"/>
                    </m:rPr>
                    <w:rPr>
                      <w:rFonts w:ascii="Cambria Math" w:eastAsia="Cambria Math" w:hAnsi="Cambria Math" w:cs="Cambria Math"/>
                      <w:szCs w:val="24"/>
                    </w:rPr>
                    <m:t>min</m:t>
                  </m:r>
                </m:sub>
              </m:sSub>
            </m:num>
            <m:den>
              <m:sSub>
                <m:sSubPr>
                  <m:ctrlPr>
                    <w:rPr>
                      <w:rFonts w:ascii="Cambria Math" w:eastAsia="Cambria Math" w:hAnsi="Cambria Math" w:cs="Cambria Math"/>
                      <w:iCs/>
                      <w:szCs w:val="24"/>
                    </w:rPr>
                  </m:ctrlPr>
                </m:sSubPr>
                <m:e>
                  <m:r>
                    <m:rPr>
                      <m:sty m:val="p"/>
                    </m:rPr>
                    <w:rPr>
                      <w:rFonts w:ascii="Cambria Math" w:eastAsia="Cambria Math" w:hAnsi="Cambria Math" w:cs="Cambria Math"/>
                      <w:szCs w:val="24"/>
                    </w:rPr>
                    <m:t>GR</m:t>
                  </m:r>
                </m:e>
                <m:sub>
                  <m:r>
                    <m:rPr>
                      <m:sty m:val="p"/>
                    </m:rPr>
                    <w:rPr>
                      <w:rFonts w:ascii="Cambria Math" w:eastAsia="Cambria Math" w:hAnsi="Cambria Math" w:cs="Cambria Math"/>
                      <w:szCs w:val="24"/>
                    </w:rPr>
                    <m:t>max</m:t>
                  </m:r>
                </m:sub>
              </m:sSub>
              <m:r>
                <m:rPr>
                  <m:sty m:val="p"/>
                </m:rPr>
                <w:rPr>
                  <w:rFonts w:ascii="Cambria Math" w:eastAsia="Cambria Math" w:hAnsi="Cambria Math" w:cs="Cambria Math"/>
                  <w:szCs w:val="24"/>
                </w:rPr>
                <m:t>-</m:t>
              </m:r>
              <m:sSub>
                <m:sSubPr>
                  <m:ctrlPr>
                    <w:rPr>
                      <w:rFonts w:ascii="Cambria Math" w:eastAsia="Cambria Math" w:hAnsi="Cambria Math" w:cs="Cambria Math"/>
                      <w:iCs/>
                      <w:szCs w:val="24"/>
                    </w:rPr>
                  </m:ctrlPr>
                </m:sSubPr>
                <m:e>
                  <m:r>
                    <m:rPr>
                      <m:sty m:val="p"/>
                    </m:rPr>
                    <w:rPr>
                      <w:rFonts w:ascii="Cambria Math" w:eastAsia="Cambria Math" w:hAnsi="Cambria Math" w:cs="Cambria Math"/>
                      <w:szCs w:val="24"/>
                    </w:rPr>
                    <m:t>GR</m:t>
                  </m:r>
                </m:e>
                <m:sub>
                  <m:r>
                    <m:rPr>
                      <m:sty m:val="p"/>
                    </m:rPr>
                    <w:rPr>
                      <w:rFonts w:ascii="Cambria Math" w:eastAsia="Cambria Math" w:hAnsi="Cambria Math" w:cs="Cambria Math"/>
                      <w:szCs w:val="24"/>
                    </w:rPr>
                    <m:t>min</m:t>
                  </m:r>
                </m:sub>
              </m:sSub>
            </m:den>
          </m:f>
          <m:r>
            <m:rPr>
              <m:sty m:val="p"/>
            </m:rPr>
            <w:rPr>
              <w:rFonts w:ascii="Cambria Math" w:eastAsia="Cambria Math" w:hAnsi="Cambria Math" w:cs="Cambria Math"/>
              <w:szCs w:val="24"/>
            </w:rPr>
            <m:t>,</m:t>
          </m:r>
        </m:oMath>
      </m:oMathPara>
    </w:p>
    <w:p w14:paraId="5E5436F4" w14:textId="3DDCF9A4" w:rsidR="004C28C1" w:rsidRDefault="00CE22E7" w:rsidP="000503CD">
      <w:pPr>
        <w:pStyle w:val="Corpodetexto"/>
        <w:rPr>
          <w:lang w:val="en-US"/>
        </w:rPr>
      </w:pPr>
      <w:r>
        <w:rPr>
          <w:lang w:val="en-US"/>
        </w:rPr>
        <w:t>where</w:t>
      </w:r>
      <w:r w:rsidR="004C28C1" w:rsidRPr="004C28C1">
        <w:rPr>
          <w:lang w:val="en-US"/>
        </w:rPr>
        <w:t xml:space="preserve"> </w:t>
      </w:r>
      <m:oMath>
        <m:sSub>
          <m:sSubPr>
            <m:ctrlPr>
              <w:rPr>
                <w:rFonts w:ascii="Cambria Math" w:eastAsia="Cambria Math" w:hAnsi="Cambria Math" w:cs="Cambria Math"/>
                <w:szCs w:val="24"/>
              </w:rPr>
            </m:ctrlPr>
          </m:sSubPr>
          <m:e>
            <m:r>
              <m:rPr>
                <m:sty m:val="p"/>
              </m:rPr>
              <w:rPr>
                <w:rFonts w:ascii="Cambria Math" w:eastAsia="Cambria Math" w:hAnsi="Cambria Math" w:cs="Cambria Math"/>
                <w:szCs w:val="24"/>
                <w:lang w:val="en-US"/>
              </w:rPr>
              <m:t>GR</m:t>
            </m:r>
          </m:e>
          <m:sub>
            <m:r>
              <m:rPr>
                <m:sty m:val="p"/>
              </m:rPr>
              <w:rPr>
                <w:rFonts w:ascii="Cambria Math" w:eastAsia="Cambria Math" w:hAnsi="Cambria Math" w:cs="Cambria Math"/>
                <w:szCs w:val="24"/>
                <w:lang w:val="en-US"/>
              </w:rPr>
              <m:t>log</m:t>
            </m:r>
          </m:sub>
        </m:sSub>
      </m:oMath>
      <w:r w:rsidR="004C28C1" w:rsidRPr="004C28C1">
        <w:rPr>
          <w:lang w:val="en-US"/>
        </w:rPr>
        <w:t xml:space="preserve"> is the value read from the log,</w:t>
      </w:r>
      <w:r w:rsidR="004C28C1">
        <w:rPr>
          <w:lang w:val="en-US"/>
        </w:rPr>
        <w:t xml:space="preserve"> </w:t>
      </w:r>
      <m:oMath>
        <m:sSub>
          <m:sSubPr>
            <m:ctrlPr>
              <w:rPr>
                <w:rFonts w:ascii="Cambria Math" w:eastAsia="Cambria Math" w:hAnsi="Cambria Math" w:cs="Cambria Math"/>
                <w:szCs w:val="24"/>
              </w:rPr>
            </m:ctrlPr>
          </m:sSubPr>
          <m:e>
            <m:r>
              <m:rPr>
                <m:sty m:val="p"/>
              </m:rPr>
              <w:rPr>
                <w:rFonts w:ascii="Cambria Math" w:eastAsia="Cambria Math" w:hAnsi="Cambria Math" w:cs="Cambria Math"/>
                <w:szCs w:val="24"/>
                <w:lang w:val="en-US"/>
              </w:rPr>
              <m:t>GR</m:t>
            </m:r>
          </m:e>
          <m:sub>
            <m:r>
              <m:rPr>
                <m:sty m:val="p"/>
              </m:rPr>
              <w:rPr>
                <w:rFonts w:ascii="Cambria Math" w:eastAsia="Cambria Math" w:hAnsi="Cambria Math" w:cs="Cambria Math"/>
                <w:szCs w:val="24"/>
                <w:lang w:val="en-US"/>
              </w:rPr>
              <m:t>min</m:t>
            </m:r>
          </m:sub>
        </m:sSub>
      </m:oMath>
      <w:r w:rsidR="004C28C1" w:rsidRPr="004C28C1">
        <w:rPr>
          <w:lang w:val="en-US"/>
        </w:rPr>
        <w:t xml:space="preserve"> is the average of the minimum values read in a clean zone, and </w:t>
      </w:r>
      <m:oMath>
        <m:sSub>
          <m:sSubPr>
            <m:ctrlPr>
              <w:rPr>
                <w:rFonts w:ascii="Cambria Math" w:eastAsia="Cambria Math" w:hAnsi="Cambria Math" w:cs="Cambria Math"/>
                <w:szCs w:val="24"/>
              </w:rPr>
            </m:ctrlPr>
          </m:sSubPr>
          <m:e>
            <m:r>
              <m:rPr>
                <m:sty m:val="p"/>
              </m:rPr>
              <w:rPr>
                <w:rFonts w:ascii="Cambria Math" w:eastAsia="Cambria Math" w:hAnsi="Cambria Math" w:cs="Cambria Math"/>
                <w:szCs w:val="24"/>
                <w:lang w:val="en-US"/>
              </w:rPr>
              <m:t>GR</m:t>
            </m:r>
          </m:e>
          <m:sub>
            <m:r>
              <m:rPr>
                <m:sty m:val="p"/>
              </m:rPr>
              <w:rPr>
                <w:rFonts w:ascii="Cambria Math" w:eastAsia="Cambria Math" w:hAnsi="Cambria Math" w:cs="Cambria Math"/>
                <w:szCs w:val="24"/>
                <w:lang w:val="en-US"/>
              </w:rPr>
              <m:t>max</m:t>
            </m:r>
          </m:sub>
        </m:sSub>
      </m:oMath>
      <w:r w:rsidR="004C28C1" w:rsidRPr="004C28C1">
        <w:rPr>
          <w:lang w:val="en-US"/>
        </w:rPr>
        <w:t xml:space="preserve"> is the average of the maximum values read in a shale zone. With the value of IGR, we can use empirical models to calculate the clay volume (V</w:t>
      </w:r>
      <w:r>
        <w:rPr>
          <w:lang w:val="en-US"/>
        </w:rPr>
        <w:t>clay</w:t>
      </w:r>
      <w:r w:rsidR="004C28C1" w:rsidRPr="004C28C1">
        <w:rPr>
          <w:lang w:val="en-US"/>
        </w:rPr>
        <w:t>). The most used models are: Linear, Larionov for recent and older rocks, Clavier, and Stieber (Schön, 2011)</w:t>
      </w:r>
      <w:r w:rsidR="004C28C1">
        <w:rPr>
          <w:lang w:val="en-US"/>
        </w:rPr>
        <w:t>.</w:t>
      </w:r>
      <w:r w:rsidR="004C28C1" w:rsidRPr="004C28C1">
        <w:rPr>
          <w:lang w:val="en-US"/>
        </w:rPr>
        <w:t xml:space="preserve"> </w:t>
      </w:r>
      <w:r w:rsidR="004C28C1">
        <w:rPr>
          <w:lang w:val="en-US"/>
        </w:rPr>
        <w:t xml:space="preserve">We used the </w:t>
      </w:r>
      <w:r w:rsidR="004C28C1" w:rsidRPr="00254E9C">
        <w:rPr>
          <w:lang w:val="en-US"/>
        </w:rPr>
        <w:t xml:space="preserve">Larionov </w:t>
      </w:r>
      <w:r w:rsidR="004C28C1" w:rsidRPr="004C28C1">
        <w:rPr>
          <w:lang w:val="en-US"/>
        </w:rPr>
        <w:t>m</w:t>
      </w:r>
      <w:r w:rsidR="004C28C1">
        <w:rPr>
          <w:lang w:val="en-US"/>
        </w:rPr>
        <w:t>ethod</w:t>
      </w:r>
      <w:r w:rsidR="004C28C1" w:rsidRPr="004C28C1">
        <w:rPr>
          <w:lang w:val="en-US"/>
        </w:rPr>
        <w:t xml:space="preserve"> for recent rocks to estimate the clay volume (Vclay)</w:t>
      </w:r>
      <w:r>
        <w:rPr>
          <w:lang w:val="en-US"/>
        </w:rPr>
        <w:t>:</w:t>
      </w:r>
    </w:p>
    <w:p w14:paraId="7D393055" w14:textId="055FDBB7" w:rsidR="004C28C1" w:rsidRDefault="004C28C1" w:rsidP="000503CD">
      <w:pPr>
        <w:pStyle w:val="Corpodetexto"/>
        <w:rPr>
          <w:lang w:val="en-US"/>
        </w:rPr>
      </w:pPr>
      <m:oMathPara>
        <m:oMath>
          <m:r>
            <m:rPr>
              <m:sty m:val="p"/>
            </m:rPr>
            <w:rPr>
              <w:rFonts w:ascii="Cambria Math" w:eastAsia="Cambria Math" w:hAnsi="Cambria Math" w:cs="Cambria Math"/>
              <w:color w:val="000000"/>
              <w:szCs w:val="24"/>
            </w:rPr>
            <m:t>Vclay=0,083</m:t>
          </m:r>
          <m:d>
            <m:dPr>
              <m:ctrlPr>
                <w:rPr>
                  <w:rFonts w:ascii="Cambria Math" w:eastAsia="Cambria Math" w:hAnsi="Cambria Math" w:cs="Cambria Math"/>
                  <w:iCs/>
                  <w:color w:val="000000"/>
                  <w:szCs w:val="24"/>
                </w:rPr>
              </m:ctrlPr>
            </m:dPr>
            <m:e>
              <m:sSup>
                <m:sSupPr>
                  <m:ctrlPr>
                    <w:rPr>
                      <w:rFonts w:ascii="Cambria Math" w:eastAsia="Cambria Math" w:hAnsi="Cambria Math" w:cs="Cambria Math"/>
                      <w:iCs/>
                      <w:color w:val="000000"/>
                      <w:szCs w:val="24"/>
                    </w:rPr>
                  </m:ctrlPr>
                </m:sSupPr>
                <m:e>
                  <m:r>
                    <m:rPr>
                      <m:sty m:val="p"/>
                    </m:rPr>
                    <w:rPr>
                      <w:rFonts w:ascii="Cambria Math" w:eastAsia="Cambria Math" w:hAnsi="Cambria Math" w:cs="Cambria Math"/>
                      <w:color w:val="000000"/>
                      <w:szCs w:val="24"/>
                    </w:rPr>
                    <m:t>2</m:t>
                  </m:r>
                </m:e>
                <m:sup>
                  <m:r>
                    <m:rPr>
                      <m:sty m:val="p"/>
                    </m:rPr>
                    <w:rPr>
                      <w:rFonts w:ascii="Cambria Math" w:eastAsia="Cambria Math" w:hAnsi="Cambria Math" w:cs="Cambria Math"/>
                      <w:color w:val="000000"/>
                      <w:szCs w:val="24"/>
                    </w:rPr>
                    <m:t>3,7*IGR</m:t>
                  </m:r>
                </m:sup>
              </m:sSup>
              <m:r>
                <m:rPr>
                  <m:sty m:val="p"/>
                </m:rPr>
                <w:rPr>
                  <w:rFonts w:ascii="Cambria Math" w:eastAsia="Cambria Math" w:hAnsi="Cambria Math" w:cs="Cambria Math"/>
                  <w:color w:val="000000"/>
                  <w:szCs w:val="24"/>
                </w:rPr>
                <m:t>-1</m:t>
              </m:r>
            </m:e>
          </m:d>
          <m:r>
            <m:rPr>
              <m:sty m:val="p"/>
            </m:rPr>
            <w:rPr>
              <w:rFonts w:ascii="Cambria Math" w:eastAsia="Cambria Math" w:hAnsi="Cambria Math" w:cs="Cambria Math"/>
              <w:szCs w:val="24"/>
            </w:rPr>
            <m:t>.</m:t>
          </m:r>
        </m:oMath>
      </m:oMathPara>
    </w:p>
    <w:p w14:paraId="020818B7" w14:textId="721EEA3C" w:rsidR="004C28C1" w:rsidRDefault="004C28C1" w:rsidP="000503CD">
      <w:pPr>
        <w:pStyle w:val="Corpodetexto"/>
        <w:rPr>
          <w:lang w:val="en-US"/>
        </w:rPr>
      </w:pPr>
      <w:r w:rsidRPr="004C28C1">
        <w:rPr>
          <w:lang w:val="en-US"/>
        </w:rPr>
        <w:t xml:space="preserve">The next step involved calculating porosity and saturation. For this, neutron (NPHI), density (RHOB), clay volume (Vclay), and temperature logs were required. </w:t>
      </w:r>
      <w:r w:rsidR="00CE22E7">
        <w:rPr>
          <w:lang w:val="en-US"/>
        </w:rPr>
        <w:t>We choose t</w:t>
      </w:r>
      <w:r w:rsidRPr="004C28C1">
        <w:rPr>
          <w:lang w:val="en-US"/>
        </w:rPr>
        <w:t>he Neutron Density method to estimate porosity. Total and effective porosities were calculated by combining the clay volume with the neutron and density logs.</w:t>
      </w:r>
    </w:p>
    <w:p w14:paraId="02D1C157" w14:textId="6646D904" w:rsidR="004C28C1" w:rsidRDefault="004C28C1" w:rsidP="000503CD">
      <w:pPr>
        <w:pStyle w:val="Corpodetexto"/>
        <w:rPr>
          <w:lang w:val="en-US"/>
        </w:rPr>
      </w:pPr>
      <w:r w:rsidRPr="004C28C1">
        <w:rPr>
          <w:lang w:val="en-US"/>
        </w:rPr>
        <w:t>The Archie equation (Schön, 201</w:t>
      </w:r>
      <w:r w:rsidR="006A7218">
        <w:rPr>
          <w:lang w:val="en-US"/>
        </w:rPr>
        <w:t>1</w:t>
      </w:r>
      <w:r w:rsidRPr="004C28C1">
        <w:rPr>
          <w:lang w:val="en-US"/>
        </w:rPr>
        <w:t xml:space="preserve">) </w:t>
      </w:r>
      <w:r w:rsidR="00CE22E7">
        <w:rPr>
          <w:lang w:val="en-US"/>
        </w:rPr>
        <w:t>used to estimate the</w:t>
      </w:r>
      <w:r w:rsidRPr="004C28C1">
        <w:rPr>
          <w:lang w:val="en-US"/>
        </w:rPr>
        <w:t xml:space="preserve"> water saturation (</w:t>
      </w:r>
      <w:proofErr w:type="spellStart"/>
      <w:r w:rsidRPr="004C28C1">
        <w:rPr>
          <w:lang w:val="en-US"/>
        </w:rPr>
        <w:t>Sw</w:t>
      </w:r>
      <w:proofErr w:type="spellEnd"/>
      <w:r w:rsidRPr="004C28C1">
        <w:rPr>
          <w:lang w:val="en-US"/>
        </w:rPr>
        <w:t>):</w:t>
      </w:r>
    </w:p>
    <w:p w14:paraId="56A2EE6A" w14:textId="43A14574" w:rsidR="004C28C1" w:rsidRPr="004C28C1" w:rsidRDefault="00000000" w:rsidP="000503CD">
      <w:pPr>
        <w:pStyle w:val="Corpodetexto"/>
        <w:rPr>
          <w:szCs w:val="24"/>
        </w:rPr>
      </w:pPr>
      <m:oMathPara>
        <m:oMath>
          <m:sSub>
            <m:sSubPr>
              <m:ctrlPr>
                <w:rPr>
                  <w:rFonts w:ascii="Cambria Math" w:eastAsia="Cambria Math" w:hAnsi="Cambria Math" w:cs="Cambria Math"/>
                  <w:iCs/>
                  <w:szCs w:val="24"/>
                </w:rPr>
              </m:ctrlPr>
            </m:sSubPr>
            <m:e>
              <m:r>
                <m:rPr>
                  <m:sty m:val="p"/>
                </m:rPr>
                <w:rPr>
                  <w:rFonts w:ascii="Cambria Math" w:eastAsia="Cambria Math" w:hAnsi="Cambria Math" w:cs="Cambria Math"/>
                  <w:szCs w:val="24"/>
                </w:rPr>
                <m:t>S</m:t>
              </m:r>
            </m:e>
            <m:sub>
              <m:r>
                <m:rPr>
                  <m:sty m:val="p"/>
                </m:rPr>
                <w:rPr>
                  <w:rFonts w:ascii="Cambria Math" w:eastAsia="Cambria Math" w:hAnsi="Cambria Math" w:cs="Cambria Math"/>
                  <w:szCs w:val="24"/>
                </w:rPr>
                <m:t>w</m:t>
              </m:r>
            </m:sub>
          </m:sSub>
          <m:r>
            <m:rPr>
              <m:sty m:val="p"/>
            </m:rPr>
            <w:rPr>
              <w:rFonts w:ascii="Cambria Math" w:eastAsia="Cambria Math" w:hAnsi="Cambria Math" w:cs="Cambria Math"/>
              <w:szCs w:val="24"/>
            </w:rPr>
            <m:t>=</m:t>
          </m:r>
          <m:rad>
            <m:radPr>
              <m:ctrlPr>
                <w:rPr>
                  <w:rFonts w:ascii="Cambria Math" w:eastAsia="Cambria Math" w:hAnsi="Cambria Math" w:cs="Cambria Math"/>
                  <w:iCs/>
                  <w:szCs w:val="24"/>
                </w:rPr>
              </m:ctrlPr>
            </m:radPr>
            <m:deg>
              <m:r>
                <m:rPr>
                  <m:sty m:val="p"/>
                </m:rPr>
                <w:rPr>
                  <w:rFonts w:ascii="Cambria Math" w:eastAsia="Cambria Math" w:hAnsi="Cambria Math" w:cs="Cambria Math"/>
                  <w:szCs w:val="24"/>
                </w:rPr>
                <m:t>n</m:t>
              </m:r>
            </m:deg>
            <m:e>
              <m:f>
                <m:fPr>
                  <m:ctrlPr>
                    <w:rPr>
                      <w:rFonts w:ascii="Cambria Math" w:eastAsia="Cambria Math" w:hAnsi="Cambria Math" w:cs="Cambria Math"/>
                      <w:iCs/>
                      <w:szCs w:val="24"/>
                    </w:rPr>
                  </m:ctrlPr>
                </m:fPr>
                <m:num>
                  <m:r>
                    <m:rPr>
                      <m:sty m:val="p"/>
                    </m:rPr>
                    <w:rPr>
                      <w:rFonts w:ascii="Cambria Math" w:eastAsia="Cambria Math" w:hAnsi="Cambria Math" w:cs="Cambria Math"/>
                      <w:szCs w:val="24"/>
                    </w:rPr>
                    <m:t xml:space="preserve">α </m:t>
                  </m:r>
                  <m:sSub>
                    <m:sSubPr>
                      <m:ctrlPr>
                        <w:rPr>
                          <w:rFonts w:ascii="Cambria Math" w:eastAsia="Cambria Math" w:hAnsi="Cambria Math" w:cs="Cambria Math"/>
                          <w:iCs/>
                          <w:szCs w:val="24"/>
                        </w:rPr>
                      </m:ctrlPr>
                    </m:sSubPr>
                    <m:e>
                      <m:r>
                        <m:rPr>
                          <m:sty m:val="p"/>
                        </m:rPr>
                        <w:rPr>
                          <w:rFonts w:ascii="Cambria Math" w:eastAsia="Cambria Math" w:hAnsi="Cambria Math" w:cs="Cambria Math"/>
                          <w:szCs w:val="24"/>
                        </w:rPr>
                        <m:t>R</m:t>
                      </m:r>
                    </m:e>
                    <m:sub>
                      <m:r>
                        <m:rPr>
                          <m:sty m:val="p"/>
                        </m:rPr>
                        <w:rPr>
                          <w:rFonts w:ascii="Cambria Math" w:eastAsia="Cambria Math" w:hAnsi="Cambria Math" w:cs="Cambria Math"/>
                          <w:szCs w:val="24"/>
                        </w:rPr>
                        <m:t>w</m:t>
                      </m:r>
                    </m:sub>
                  </m:sSub>
                </m:num>
                <m:den>
                  <m:sSup>
                    <m:sSupPr>
                      <m:ctrlPr>
                        <w:rPr>
                          <w:rFonts w:ascii="Cambria Math" w:eastAsia="Cambria Math" w:hAnsi="Cambria Math" w:cs="Cambria Math"/>
                          <w:iCs/>
                          <w:szCs w:val="24"/>
                        </w:rPr>
                      </m:ctrlPr>
                    </m:sSupPr>
                    <m:e>
                      <m:r>
                        <m:rPr>
                          <m:sty m:val="p"/>
                        </m:rPr>
                        <w:rPr>
                          <w:rFonts w:ascii="Cambria Math" w:eastAsia="Cambria Math" w:hAnsi="Cambria Math" w:cs="Cambria Math"/>
                          <w:szCs w:val="24"/>
                        </w:rPr>
                        <m:t>Φ</m:t>
                      </m:r>
                    </m:e>
                    <m:sup>
                      <m:r>
                        <m:rPr>
                          <m:sty m:val="p"/>
                        </m:rPr>
                        <w:rPr>
                          <w:rFonts w:ascii="Cambria Math" w:eastAsia="Cambria Math" w:hAnsi="Cambria Math" w:cs="Cambria Math"/>
                          <w:szCs w:val="24"/>
                        </w:rPr>
                        <m:t>m</m:t>
                      </m:r>
                    </m:sup>
                  </m:sSup>
                  <m:sSub>
                    <m:sSubPr>
                      <m:ctrlPr>
                        <w:rPr>
                          <w:rFonts w:ascii="Cambria Math" w:eastAsia="Cambria Math" w:hAnsi="Cambria Math" w:cs="Cambria Math"/>
                          <w:iCs/>
                          <w:szCs w:val="24"/>
                        </w:rPr>
                      </m:ctrlPr>
                    </m:sSubPr>
                    <m:e>
                      <m:r>
                        <m:rPr>
                          <m:sty m:val="p"/>
                        </m:rPr>
                        <w:rPr>
                          <w:rFonts w:ascii="Cambria Math" w:eastAsia="Cambria Math" w:hAnsi="Cambria Math" w:cs="Cambria Math"/>
                          <w:szCs w:val="24"/>
                        </w:rPr>
                        <m:t>R</m:t>
                      </m:r>
                    </m:e>
                    <m:sub>
                      <m:r>
                        <m:rPr>
                          <m:sty m:val="p"/>
                        </m:rPr>
                        <w:rPr>
                          <w:rFonts w:ascii="Cambria Math" w:eastAsia="Cambria Math" w:hAnsi="Cambria Math" w:cs="Cambria Math"/>
                          <w:szCs w:val="24"/>
                        </w:rPr>
                        <m:t>t</m:t>
                      </m:r>
                    </m:sub>
                  </m:sSub>
                </m:den>
              </m:f>
            </m:e>
          </m:rad>
          <m:r>
            <m:rPr>
              <m:sty m:val="p"/>
            </m:rPr>
            <w:rPr>
              <w:rFonts w:ascii="Cambria Math" w:eastAsia="Cambria Math" w:hAnsi="Cambria Math" w:cs="Cambria Math"/>
              <w:szCs w:val="24"/>
            </w:rPr>
            <m:t>,</m:t>
          </m:r>
        </m:oMath>
      </m:oMathPara>
    </w:p>
    <w:p w14:paraId="3EA1FEFC" w14:textId="4A3FA424" w:rsidR="004C28C1" w:rsidRDefault="00CE22E7" w:rsidP="000503CD">
      <w:pPr>
        <w:pStyle w:val="Corpodetexto"/>
        <w:rPr>
          <w:lang w:val="en-US"/>
        </w:rPr>
      </w:pPr>
      <w:r>
        <w:rPr>
          <w:lang w:val="en-US"/>
        </w:rPr>
        <w:t>where</w:t>
      </w:r>
      <w:r w:rsidR="004C28C1" w:rsidRPr="004C28C1">
        <w:rPr>
          <w:lang w:val="en-US"/>
        </w:rPr>
        <w:t xml:space="preserve"> </w:t>
      </w:r>
      <m:oMath>
        <m:sSub>
          <m:sSubPr>
            <m:ctrlPr>
              <w:rPr>
                <w:rFonts w:ascii="Cambria Math" w:eastAsia="Cambria Math" w:hAnsi="Cambria Math" w:cs="Cambria Math"/>
                <w:szCs w:val="24"/>
              </w:rPr>
            </m:ctrlPr>
          </m:sSubPr>
          <m:e>
            <m:r>
              <m:rPr>
                <m:sty m:val="p"/>
              </m:rPr>
              <w:rPr>
                <w:rFonts w:ascii="Cambria Math" w:eastAsia="Cambria Math" w:hAnsi="Cambria Math" w:cs="Cambria Math"/>
                <w:szCs w:val="24"/>
                <w:lang w:val="en-US"/>
              </w:rPr>
              <m:t>R</m:t>
            </m:r>
          </m:e>
          <m:sub>
            <m:r>
              <m:rPr>
                <m:sty m:val="p"/>
              </m:rPr>
              <w:rPr>
                <w:rFonts w:ascii="Cambria Math" w:eastAsia="Cambria Math" w:hAnsi="Cambria Math" w:cs="Cambria Math"/>
                <w:szCs w:val="24"/>
                <w:lang w:val="en-US"/>
              </w:rPr>
              <m:t>t</m:t>
            </m:r>
          </m:sub>
        </m:sSub>
      </m:oMath>
      <w:r w:rsidR="004C28C1" w:rsidRPr="004C28C1">
        <w:rPr>
          <w:lang w:val="en-US"/>
        </w:rPr>
        <w:t xml:space="preserve"> is the resistivity read from the log, </w:t>
      </w:r>
      <m:oMath>
        <m:sSub>
          <m:sSubPr>
            <m:ctrlPr>
              <w:rPr>
                <w:rFonts w:ascii="Cambria Math" w:eastAsia="Cambria Math" w:hAnsi="Cambria Math" w:cs="Cambria Math"/>
                <w:szCs w:val="24"/>
              </w:rPr>
            </m:ctrlPr>
          </m:sSubPr>
          <m:e>
            <m:r>
              <m:rPr>
                <m:sty m:val="p"/>
              </m:rPr>
              <w:rPr>
                <w:rFonts w:ascii="Cambria Math" w:eastAsia="Cambria Math" w:hAnsi="Cambria Math" w:cs="Cambria Math"/>
                <w:szCs w:val="24"/>
                <w:lang w:val="en-US"/>
              </w:rPr>
              <m:t>R</m:t>
            </m:r>
          </m:e>
          <m:sub>
            <m:r>
              <m:rPr>
                <m:sty m:val="p"/>
              </m:rPr>
              <w:rPr>
                <w:rFonts w:ascii="Cambria Math" w:eastAsia="Cambria Math" w:hAnsi="Cambria Math" w:cs="Cambria Math"/>
                <w:szCs w:val="24"/>
                <w:lang w:val="en-US"/>
              </w:rPr>
              <m:t>w</m:t>
            </m:r>
          </m:sub>
        </m:sSub>
      </m:oMath>
      <w:r w:rsidR="004C28C1" w:rsidRPr="004C28C1">
        <w:rPr>
          <w:lang w:val="en-US"/>
        </w:rPr>
        <w:t xml:space="preserve"> is the resistivity of formation water, </w:t>
      </w:r>
      <m:oMath>
        <m:r>
          <m:rPr>
            <m:sty m:val="p"/>
          </m:rPr>
          <w:rPr>
            <w:rFonts w:ascii="Cambria Math" w:eastAsia="Cambria Math" w:hAnsi="Cambria Math" w:cs="Cambria Math"/>
            <w:szCs w:val="24"/>
          </w:rPr>
          <m:t>Φ</m:t>
        </m:r>
      </m:oMath>
      <w:r w:rsidR="004C28C1" w:rsidRPr="004C28C1">
        <w:rPr>
          <w:lang w:val="en-US"/>
        </w:rPr>
        <w:t xml:space="preserve"> is the porosity, </w:t>
      </w:r>
      <m:oMath>
        <m:r>
          <w:rPr>
            <w:rFonts w:ascii="Cambria Math" w:eastAsia="Cambria Math" w:hAnsi="Cambria Math" w:cs="Cambria Math"/>
            <w:szCs w:val="24"/>
            <w:lang w:val="en-US"/>
          </w:rPr>
          <m:t>m</m:t>
        </m:r>
      </m:oMath>
      <w:r w:rsidR="004C28C1" w:rsidRPr="004C28C1">
        <w:rPr>
          <w:lang w:val="en-US"/>
        </w:rPr>
        <w:t xml:space="preserve"> is the cementation exponent, </w:t>
      </w:r>
      <m:oMath>
        <m:r>
          <m:rPr>
            <m:sty m:val="p"/>
          </m:rPr>
          <w:rPr>
            <w:rFonts w:ascii="Cambria Math" w:eastAsia="Cambria Math" w:hAnsi="Cambria Math" w:cs="Cambria Math"/>
            <w:szCs w:val="24"/>
            <w:lang w:val="en-US"/>
          </w:rPr>
          <m:t>n</m:t>
        </m:r>
      </m:oMath>
      <w:r w:rsidR="004C28C1" w:rsidRPr="004C28C1">
        <w:rPr>
          <w:lang w:val="en-US"/>
        </w:rPr>
        <w:t xml:space="preserve"> is the saturation exponent, and </w:t>
      </w:r>
      <m:oMath>
        <m:r>
          <m:rPr>
            <m:sty m:val="p"/>
          </m:rPr>
          <w:rPr>
            <w:rFonts w:ascii="Cambria Math" w:hAnsi="Cambria Math"/>
          </w:rPr>
          <m:t>α</m:t>
        </m:r>
      </m:oMath>
      <w:r w:rsidR="00F16FE8" w:rsidRPr="004C28C1">
        <w:rPr>
          <w:lang w:val="en-US"/>
        </w:rPr>
        <w:t xml:space="preserve"> </w:t>
      </w:r>
      <w:r w:rsidR="004C28C1" w:rsidRPr="004C28C1">
        <w:rPr>
          <w:lang w:val="en-US"/>
        </w:rPr>
        <w:t xml:space="preserve">is the tortuosity parameter. </w:t>
      </w:r>
      <w:r>
        <w:rPr>
          <w:lang w:val="en-US"/>
        </w:rPr>
        <w:t xml:space="preserve">We used </w:t>
      </w:r>
      <w:r w:rsidR="004C28C1" w:rsidRPr="004C28C1">
        <w:rPr>
          <w:lang w:val="en-US"/>
        </w:rPr>
        <w:t xml:space="preserve">m=n=2 and </w:t>
      </w:r>
      <m:oMath>
        <m:r>
          <m:rPr>
            <m:sty m:val="p"/>
          </m:rPr>
          <w:rPr>
            <w:rFonts w:ascii="Cambria Math" w:hAnsi="Cambria Math"/>
          </w:rPr>
          <m:t>α</m:t>
        </m:r>
      </m:oMath>
      <w:r w:rsidR="00F16FE8" w:rsidRPr="004C28C1">
        <w:rPr>
          <w:lang w:val="en-US"/>
        </w:rPr>
        <w:t xml:space="preserve"> </w:t>
      </w:r>
      <w:r w:rsidR="004C28C1" w:rsidRPr="004C28C1">
        <w:rPr>
          <w:lang w:val="en-US"/>
        </w:rPr>
        <w:t xml:space="preserve">=1. </w:t>
      </w:r>
      <w:r>
        <w:rPr>
          <w:lang w:val="en-US"/>
        </w:rPr>
        <w:t xml:space="preserve">We </w:t>
      </w:r>
      <w:r w:rsidRPr="004C28C1">
        <w:rPr>
          <w:lang w:val="en-US"/>
        </w:rPr>
        <w:t xml:space="preserve">identified </w:t>
      </w:r>
      <w:r>
        <w:rPr>
          <w:lang w:val="en-US"/>
        </w:rPr>
        <w:t>a</w:t>
      </w:r>
      <w:r w:rsidR="004C28C1" w:rsidRPr="004C28C1">
        <w:rPr>
          <w:lang w:val="en-US"/>
        </w:rPr>
        <w:t xml:space="preserve"> zone with 100% water saturation </w:t>
      </w:r>
      <w:r w:rsidR="008A1322">
        <w:rPr>
          <w:lang w:val="en-US"/>
        </w:rPr>
        <w:t xml:space="preserve">and </w:t>
      </w:r>
      <w:r w:rsidR="008A1322" w:rsidRPr="004C28C1">
        <w:rPr>
          <w:lang w:val="en-US"/>
        </w:rPr>
        <w:t xml:space="preserve">Pickett Plot technique </w:t>
      </w:r>
      <w:r w:rsidR="004C28C1" w:rsidRPr="004C28C1">
        <w:rPr>
          <w:lang w:val="en-US"/>
        </w:rPr>
        <w:t xml:space="preserve">to obtain the value of </w:t>
      </w:r>
      <m:oMath>
        <m:sSub>
          <m:sSubPr>
            <m:ctrlPr>
              <w:rPr>
                <w:rFonts w:ascii="Cambria Math" w:eastAsia="Cambria Math" w:hAnsi="Cambria Math" w:cs="Cambria Math"/>
                <w:szCs w:val="24"/>
              </w:rPr>
            </m:ctrlPr>
          </m:sSubPr>
          <m:e>
            <m:r>
              <m:rPr>
                <m:sty m:val="p"/>
              </m:rPr>
              <w:rPr>
                <w:rFonts w:ascii="Cambria Math" w:eastAsia="Cambria Math" w:hAnsi="Cambria Math" w:cs="Cambria Math"/>
                <w:szCs w:val="24"/>
                <w:lang w:val="en-US"/>
              </w:rPr>
              <m:t>R</m:t>
            </m:r>
          </m:e>
          <m:sub>
            <m:r>
              <m:rPr>
                <m:sty m:val="p"/>
              </m:rPr>
              <w:rPr>
                <w:rFonts w:ascii="Cambria Math" w:eastAsia="Cambria Math" w:hAnsi="Cambria Math" w:cs="Cambria Math"/>
                <w:szCs w:val="24"/>
                <w:lang w:val="en-US"/>
              </w:rPr>
              <m:t>w</m:t>
            </m:r>
          </m:sub>
        </m:sSub>
      </m:oMath>
      <w:r w:rsidR="008A1322">
        <w:rPr>
          <w:lang w:val="en-US"/>
        </w:rPr>
        <w:t>.</w:t>
      </w:r>
    </w:p>
    <w:p w14:paraId="77773F2B" w14:textId="77777777" w:rsidR="00E55CD0" w:rsidRPr="00E15F94" w:rsidRDefault="00E55CD0" w:rsidP="000503CD">
      <w:pPr>
        <w:pStyle w:val="Corpodetexto"/>
        <w:rPr>
          <w:lang w:val="en-US"/>
        </w:rPr>
      </w:pPr>
    </w:p>
    <w:p w14:paraId="04273263" w14:textId="77777777" w:rsidR="000503CD" w:rsidRPr="00241400" w:rsidRDefault="000503CD" w:rsidP="000503CD">
      <w:pPr>
        <w:pStyle w:val="Corpodetexto"/>
        <w:numPr>
          <w:ilvl w:val="0"/>
          <w:numId w:val="1"/>
        </w:numPr>
        <w:ind w:left="360"/>
      </w:pPr>
      <w:proofErr w:type="spellStart"/>
      <w:r w:rsidRPr="00C031E9">
        <w:rPr>
          <w:b/>
          <w:bCs/>
        </w:rPr>
        <w:t>Sensitivity</w:t>
      </w:r>
      <w:proofErr w:type="spellEnd"/>
      <w:r w:rsidRPr="00C031E9">
        <w:rPr>
          <w:b/>
          <w:bCs/>
        </w:rPr>
        <w:t xml:space="preserve"> </w:t>
      </w:r>
      <w:proofErr w:type="spellStart"/>
      <w:r w:rsidRPr="00C031E9">
        <w:rPr>
          <w:b/>
          <w:bCs/>
        </w:rPr>
        <w:t>analysis</w:t>
      </w:r>
      <w:proofErr w:type="spellEnd"/>
      <w:r w:rsidRPr="00C031E9">
        <w:rPr>
          <w:b/>
          <w:bCs/>
        </w:rPr>
        <w:t xml:space="preserve"> for </w:t>
      </w:r>
      <w:proofErr w:type="spellStart"/>
      <w:r w:rsidRPr="00C031E9">
        <w:rPr>
          <w:b/>
          <w:bCs/>
        </w:rPr>
        <w:t>acoustic</w:t>
      </w:r>
      <w:proofErr w:type="spellEnd"/>
      <w:r w:rsidRPr="00C031E9">
        <w:rPr>
          <w:b/>
          <w:bCs/>
        </w:rPr>
        <w:t xml:space="preserve"> </w:t>
      </w:r>
      <w:proofErr w:type="spellStart"/>
      <w:r w:rsidRPr="00C031E9">
        <w:rPr>
          <w:b/>
          <w:bCs/>
        </w:rPr>
        <w:t>inversion</w:t>
      </w:r>
      <w:proofErr w:type="spellEnd"/>
    </w:p>
    <w:p w14:paraId="6EC4A427" w14:textId="174E8BAB" w:rsidR="000503CD" w:rsidRDefault="000503CD" w:rsidP="000503CD">
      <w:pPr>
        <w:pStyle w:val="Corpodetexto"/>
        <w:rPr>
          <w:lang w:val="en-US"/>
        </w:rPr>
      </w:pPr>
      <w:r w:rsidRPr="00E15F94">
        <w:rPr>
          <w:lang w:val="en-US"/>
        </w:rPr>
        <w:t xml:space="preserve">This analysis </w:t>
      </w:r>
      <w:r w:rsidR="006F41DB" w:rsidRPr="006F41DB">
        <w:rPr>
          <w:lang w:val="en-US"/>
        </w:rPr>
        <w:t>aided</w:t>
      </w:r>
      <w:r w:rsidR="006F41DB" w:rsidRPr="006F41DB" w:rsidDel="006F41DB">
        <w:rPr>
          <w:lang w:val="en-US"/>
        </w:rPr>
        <w:t xml:space="preserve"> </w:t>
      </w:r>
      <w:r w:rsidRPr="00E15F94">
        <w:rPr>
          <w:lang w:val="en-US"/>
        </w:rPr>
        <w:t xml:space="preserve">in the interpretation of seismic inversion results. The acoustic impedance data were analyzed in relation to </w:t>
      </w:r>
      <w:r w:rsidR="008A1322" w:rsidRPr="00E15F94">
        <w:rPr>
          <w:lang w:val="en-US"/>
        </w:rPr>
        <w:t>lithology</w:t>
      </w:r>
      <w:r w:rsidR="008A1322">
        <w:rPr>
          <w:lang w:val="en-US"/>
        </w:rPr>
        <w:t xml:space="preserve"> and effective </w:t>
      </w:r>
      <w:r w:rsidRPr="00E15F94">
        <w:rPr>
          <w:lang w:val="en-US"/>
        </w:rPr>
        <w:t xml:space="preserve">porosity. </w:t>
      </w:r>
    </w:p>
    <w:p w14:paraId="08DA621C" w14:textId="77777777" w:rsidR="000503CD" w:rsidRPr="00E15F94" w:rsidRDefault="000503CD" w:rsidP="000503CD">
      <w:pPr>
        <w:pStyle w:val="Corpodetexto"/>
        <w:rPr>
          <w:lang w:val="en-US"/>
        </w:rPr>
      </w:pPr>
    </w:p>
    <w:p w14:paraId="3CF27C0D" w14:textId="68A9FC7F" w:rsidR="000503CD" w:rsidRPr="00107BCE" w:rsidRDefault="003D04E5" w:rsidP="000503CD">
      <w:pPr>
        <w:pStyle w:val="Corpodetexto"/>
        <w:numPr>
          <w:ilvl w:val="0"/>
          <w:numId w:val="1"/>
        </w:numPr>
        <w:ind w:left="270"/>
      </w:pPr>
      <w:proofErr w:type="spellStart"/>
      <w:r>
        <w:rPr>
          <w:b/>
          <w:bCs/>
        </w:rPr>
        <w:t>Seismic</w:t>
      </w:r>
      <w:proofErr w:type="spellEnd"/>
      <w:r>
        <w:rPr>
          <w:b/>
          <w:bCs/>
        </w:rPr>
        <w:t xml:space="preserve"> </w:t>
      </w:r>
      <w:proofErr w:type="spellStart"/>
      <w:r>
        <w:rPr>
          <w:b/>
          <w:bCs/>
        </w:rPr>
        <w:t>well</w:t>
      </w:r>
      <w:proofErr w:type="spellEnd"/>
      <w:r>
        <w:rPr>
          <w:b/>
          <w:bCs/>
        </w:rPr>
        <w:t xml:space="preserve"> </w:t>
      </w:r>
      <w:proofErr w:type="spellStart"/>
      <w:r>
        <w:rPr>
          <w:b/>
          <w:bCs/>
        </w:rPr>
        <w:t>tie</w:t>
      </w:r>
      <w:proofErr w:type="spellEnd"/>
    </w:p>
    <w:p w14:paraId="3D8DDB2F" w14:textId="74C270AE" w:rsidR="000503CD" w:rsidRPr="00E15F94" w:rsidRDefault="000503CD" w:rsidP="000503CD">
      <w:pPr>
        <w:pStyle w:val="Legenda"/>
        <w:jc w:val="both"/>
        <w:rPr>
          <w:rFonts w:ascii="Arial" w:hAnsi="Arial" w:cs="Arial"/>
          <w:b w:val="0"/>
          <w:bCs w:val="0"/>
          <w:sz w:val="18"/>
          <w:szCs w:val="18"/>
          <w:lang w:val="en-US"/>
        </w:rPr>
      </w:pPr>
      <w:r w:rsidRPr="00E15F94">
        <w:rPr>
          <w:rFonts w:ascii="Arial" w:hAnsi="Arial" w:cs="Arial"/>
          <w:b w:val="0"/>
          <w:bCs w:val="0"/>
          <w:sz w:val="18"/>
          <w:szCs w:val="18"/>
          <w:lang w:val="en-US"/>
        </w:rPr>
        <w:t xml:space="preserve">The third phase involved </w:t>
      </w:r>
      <w:r w:rsidRPr="0068694C">
        <w:rPr>
          <w:rFonts w:ascii="Arial" w:hAnsi="Arial" w:cs="Arial"/>
          <w:b w:val="0"/>
          <w:bCs w:val="0"/>
          <w:sz w:val="18"/>
          <w:szCs w:val="18"/>
          <w:lang w:val="en-US"/>
        </w:rPr>
        <w:t xml:space="preserve">seismic </w:t>
      </w:r>
      <w:r w:rsidR="00DC1E98" w:rsidRPr="0068694C">
        <w:rPr>
          <w:rFonts w:ascii="Arial" w:hAnsi="Arial" w:cs="Arial"/>
          <w:b w:val="0"/>
          <w:bCs w:val="0"/>
          <w:sz w:val="18"/>
          <w:szCs w:val="18"/>
          <w:lang w:val="en-US"/>
        </w:rPr>
        <w:t xml:space="preserve">well </w:t>
      </w:r>
      <w:r w:rsidRPr="0068694C">
        <w:rPr>
          <w:rFonts w:ascii="Arial" w:hAnsi="Arial" w:cs="Arial"/>
          <w:b w:val="0"/>
          <w:bCs w:val="0"/>
          <w:sz w:val="18"/>
          <w:szCs w:val="18"/>
          <w:lang w:val="en-US"/>
        </w:rPr>
        <w:t xml:space="preserve">tie, aiming to correlate information extracted from well data with seismic attributes. For the </w:t>
      </w:r>
      <w:r w:rsidR="00DC1E98" w:rsidRPr="0068694C">
        <w:rPr>
          <w:rFonts w:ascii="Arial" w:hAnsi="Arial" w:cs="Arial"/>
          <w:b w:val="0"/>
          <w:bCs w:val="0"/>
          <w:sz w:val="18"/>
          <w:szCs w:val="18"/>
          <w:lang w:val="en-US"/>
        </w:rPr>
        <w:t>seismic well tie</w:t>
      </w:r>
      <w:r w:rsidRPr="0068694C">
        <w:rPr>
          <w:rFonts w:ascii="Arial" w:hAnsi="Arial" w:cs="Arial"/>
          <w:b w:val="0"/>
          <w:bCs w:val="0"/>
          <w:sz w:val="18"/>
          <w:szCs w:val="18"/>
          <w:lang w:val="en-US"/>
        </w:rPr>
        <w:t>, a synthetic</w:t>
      </w:r>
      <w:r w:rsidRPr="00E15F94">
        <w:rPr>
          <w:rFonts w:ascii="Arial" w:hAnsi="Arial" w:cs="Arial"/>
          <w:b w:val="0"/>
          <w:bCs w:val="0"/>
          <w:sz w:val="18"/>
          <w:szCs w:val="18"/>
          <w:lang w:val="en-US"/>
        </w:rPr>
        <w:t xml:space="preserve"> seismic trace </w:t>
      </w:r>
      <w:r w:rsidRPr="00E15F94">
        <w:rPr>
          <w:rFonts w:ascii="Arial" w:hAnsi="Arial" w:cs="Arial"/>
          <w:b w:val="0"/>
          <w:bCs w:val="0"/>
          <w:sz w:val="18"/>
          <w:szCs w:val="18"/>
          <w:lang w:val="en-US"/>
        </w:rPr>
        <w:t xml:space="preserve">was generated for the wells using the convolutional model of reflectivity function with a zero-phase seismic pulse obtained from the frequency spectrum within a given seismic data window. </w:t>
      </w:r>
      <w:r w:rsidR="00655464">
        <w:rPr>
          <w:rFonts w:ascii="Arial" w:hAnsi="Arial" w:cs="Arial"/>
          <w:b w:val="0"/>
          <w:bCs w:val="0"/>
          <w:sz w:val="18"/>
          <w:szCs w:val="18"/>
          <w:lang w:val="en-US"/>
        </w:rPr>
        <w:t>We used a</w:t>
      </w:r>
      <w:r w:rsidRPr="00E15F94">
        <w:rPr>
          <w:rFonts w:ascii="Arial" w:hAnsi="Arial" w:cs="Arial"/>
          <w:b w:val="0"/>
          <w:bCs w:val="0"/>
          <w:sz w:val="18"/>
          <w:szCs w:val="18"/>
          <w:lang w:val="en-US"/>
        </w:rPr>
        <w:t xml:space="preserve"> window from 1900 to 2250 </w:t>
      </w:r>
      <w:proofErr w:type="spellStart"/>
      <w:r w:rsidRPr="00E15F94">
        <w:rPr>
          <w:rFonts w:ascii="Arial" w:hAnsi="Arial" w:cs="Arial"/>
          <w:b w:val="0"/>
          <w:bCs w:val="0"/>
          <w:sz w:val="18"/>
          <w:szCs w:val="18"/>
          <w:lang w:val="en-US"/>
        </w:rPr>
        <w:t>ms</w:t>
      </w:r>
      <w:proofErr w:type="spellEnd"/>
      <w:r w:rsidRPr="00E15F94">
        <w:rPr>
          <w:rFonts w:ascii="Arial" w:hAnsi="Arial" w:cs="Arial"/>
          <w:b w:val="0"/>
          <w:bCs w:val="0"/>
          <w:sz w:val="18"/>
          <w:szCs w:val="18"/>
          <w:lang w:val="en-US"/>
        </w:rPr>
        <w:t xml:space="preserve"> </w:t>
      </w:r>
      <w:r w:rsidR="00655464">
        <w:rPr>
          <w:rFonts w:ascii="Arial" w:hAnsi="Arial" w:cs="Arial"/>
          <w:b w:val="0"/>
          <w:bCs w:val="0"/>
          <w:sz w:val="18"/>
          <w:szCs w:val="18"/>
          <w:lang w:val="en-US"/>
        </w:rPr>
        <w:t>for well to seismic tie</w:t>
      </w:r>
      <w:r w:rsidRPr="00E15F94">
        <w:rPr>
          <w:rFonts w:ascii="Arial" w:hAnsi="Arial" w:cs="Arial"/>
          <w:b w:val="0"/>
          <w:bCs w:val="0"/>
          <w:sz w:val="18"/>
          <w:szCs w:val="18"/>
          <w:lang w:val="en-US"/>
        </w:rPr>
        <w:t xml:space="preserve">. The reflectivity function of each well was obtained through the acoustic impedance </w:t>
      </w:r>
      <w:r>
        <w:rPr>
          <w:rFonts w:ascii="Arial" w:hAnsi="Arial" w:cs="Arial"/>
          <w:b w:val="0"/>
          <w:bCs w:val="0"/>
          <w:sz w:val="18"/>
          <w:szCs w:val="18"/>
          <w:lang w:val="en-US"/>
        </w:rPr>
        <w:t>log</w:t>
      </w:r>
      <w:r w:rsidRPr="00E15F94">
        <w:rPr>
          <w:rFonts w:ascii="Arial" w:hAnsi="Arial" w:cs="Arial"/>
          <w:b w:val="0"/>
          <w:bCs w:val="0"/>
          <w:sz w:val="18"/>
          <w:szCs w:val="18"/>
          <w:lang w:val="en-US"/>
        </w:rPr>
        <w:t xml:space="preserve">, which </w:t>
      </w:r>
      <w:r w:rsidR="00655464">
        <w:rPr>
          <w:rFonts w:ascii="Arial" w:hAnsi="Arial" w:cs="Arial"/>
          <w:b w:val="0"/>
          <w:bCs w:val="0"/>
          <w:sz w:val="18"/>
          <w:szCs w:val="18"/>
          <w:lang w:val="en-US"/>
        </w:rPr>
        <w:t>is</w:t>
      </w:r>
      <w:r w:rsidRPr="00E15F94">
        <w:rPr>
          <w:rFonts w:ascii="Arial" w:hAnsi="Arial" w:cs="Arial"/>
          <w:b w:val="0"/>
          <w:bCs w:val="0"/>
          <w:sz w:val="18"/>
          <w:szCs w:val="18"/>
          <w:lang w:val="en-US"/>
        </w:rPr>
        <w:t xml:space="preserve"> calculated </w:t>
      </w:r>
      <w:r w:rsidR="00655464">
        <w:rPr>
          <w:rFonts w:ascii="Arial" w:hAnsi="Arial" w:cs="Arial"/>
          <w:b w:val="0"/>
          <w:bCs w:val="0"/>
          <w:sz w:val="18"/>
          <w:szCs w:val="18"/>
          <w:lang w:val="en-US"/>
        </w:rPr>
        <w:t xml:space="preserve">from </w:t>
      </w:r>
      <w:r w:rsidRPr="00E15F94">
        <w:rPr>
          <w:rFonts w:ascii="Arial" w:hAnsi="Arial" w:cs="Arial"/>
          <w:b w:val="0"/>
          <w:bCs w:val="0"/>
          <w:sz w:val="18"/>
          <w:szCs w:val="18"/>
          <w:lang w:val="en-US"/>
        </w:rPr>
        <w:t xml:space="preserve">the </w:t>
      </w:r>
      <w:r w:rsidR="006F41DB">
        <w:rPr>
          <w:rFonts w:ascii="Arial" w:hAnsi="Arial" w:cs="Arial"/>
          <w:b w:val="0"/>
          <w:bCs w:val="0"/>
          <w:sz w:val="18"/>
          <w:szCs w:val="18"/>
          <w:lang w:val="en-US"/>
        </w:rPr>
        <w:t>velocity</w:t>
      </w:r>
      <w:r w:rsidR="006F41DB" w:rsidRPr="00E15F94">
        <w:rPr>
          <w:rFonts w:ascii="Arial" w:hAnsi="Arial" w:cs="Arial"/>
          <w:b w:val="0"/>
          <w:bCs w:val="0"/>
          <w:sz w:val="18"/>
          <w:szCs w:val="18"/>
          <w:lang w:val="en-US"/>
        </w:rPr>
        <w:t xml:space="preserve"> </w:t>
      </w:r>
      <w:r w:rsidRPr="00E15F94">
        <w:rPr>
          <w:rFonts w:ascii="Arial" w:hAnsi="Arial" w:cs="Arial"/>
          <w:b w:val="0"/>
          <w:bCs w:val="0"/>
          <w:sz w:val="18"/>
          <w:szCs w:val="18"/>
          <w:lang w:val="en-US"/>
        </w:rPr>
        <w:t>and density logs.</w:t>
      </w:r>
    </w:p>
    <w:p w14:paraId="061E7976" w14:textId="77777777" w:rsidR="000503CD" w:rsidRPr="00E15F94" w:rsidRDefault="000503CD" w:rsidP="000503CD">
      <w:pPr>
        <w:rPr>
          <w:lang w:val="en-US"/>
        </w:rPr>
      </w:pPr>
    </w:p>
    <w:p w14:paraId="5A26601C" w14:textId="77777777" w:rsidR="000503CD" w:rsidRPr="000503CD" w:rsidRDefault="000503CD" w:rsidP="000503CD">
      <w:pPr>
        <w:pStyle w:val="Corpodetexto"/>
        <w:numPr>
          <w:ilvl w:val="0"/>
          <w:numId w:val="1"/>
        </w:numPr>
        <w:ind w:left="360"/>
        <w:rPr>
          <w:lang w:val="en-US"/>
        </w:rPr>
      </w:pPr>
      <w:r w:rsidRPr="000503CD">
        <w:rPr>
          <w:b/>
          <w:bCs/>
          <w:lang w:val="en-US"/>
        </w:rPr>
        <w:t>Application of RMS attribute and relative acoustic impedance</w:t>
      </w:r>
    </w:p>
    <w:p w14:paraId="0D41ED83" w14:textId="2DA8F647" w:rsidR="000503CD" w:rsidRPr="00E15F94" w:rsidRDefault="006F41DB" w:rsidP="000503CD">
      <w:pPr>
        <w:pStyle w:val="Corpodetexto"/>
        <w:rPr>
          <w:lang w:val="en-US"/>
        </w:rPr>
      </w:pPr>
      <w:r w:rsidRPr="006F41DB">
        <w:rPr>
          <w:lang w:val="en-US"/>
        </w:rPr>
        <w:t>The RMS seismic attribute helped to better visualize the depositional system</w:t>
      </w:r>
      <w:r w:rsidR="000503CD" w:rsidRPr="00E15F94">
        <w:rPr>
          <w:lang w:val="en-US"/>
        </w:rPr>
        <w:t xml:space="preserve">. </w:t>
      </w:r>
      <w:r w:rsidR="00814620" w:rsidRPr="00814620">
        <w:rPr>
          <w:lang w:val="en-US"/>
        </w:rPr>
        <w:t xml:space="preserve">The RMS is a stratigraphic attribute that has a good response to changes in rock </w:t>
      </w:r>
      <w:r w:rsidR="00081EFF" w:rsidRPr="00814620">
        <w:rPr>
          <w:lang w:val="en-US"/>
        </w:rPr>
        <w:t>properties.</w:t>
      </w:r>
    </w:p>
    <w:p w14:paraId="35417E2D" w14:textId="77777777" w:rsidR="000503CD" w:rsidRDefault="000503CD" w:rsidP="000503CD">
      <w:pPr>
        <w:pStyle w:val="Corpodetexto"/>
      </w:pPr>
      <w:r w:rsidRPr="00E15F94">
        <w:rPr>
          <w:lang w:val="en-US"/>
        </w:rPr>
        <w:t xml:space="preserve">In general, attributes related to the energy content of the seismic trace are used to distinguish different lithology types. High RMS amplitude values are commonly associated with lithological changes, channels, high-porosity rocks (porous sands), bright spots, and particularly gas-saturated sandstone zones. </w:t>
      </w:r>
      <w:r w:rsidRPr="00C85668">
        <w:t>(</w:t>
      </w:r>
      <w:proofErr w:type="spellStart"/>
      <w:r w:rsidRPr="00C85668">
        <w:t>Taner</w:t>
      </w:r>
      <w:proofErr w:type="spellEnd"/>
      <w:r w:rsidRPr="00C85668">
        <w:t xml:space="preserve"> et al., 1979; </w:t>
      </w:r>
      <w:proofErr w:type="spellStart"/>
      <w:r w:rsidRPr="00C85668">
        <w:t>Yushuang</w:t>
      </w:r>
      <w:proofErr w:type="spellEnd"/>
      <w:r w:rsidRPr="00C85668">
        <w:t xml:space="preserve"> &amp; </w:t>
      </w:r>
      <w:proofErr w:type="spellStart"/>
      <w:r w:rsidRPr="00C85668">
        <w:t>Simiao</w:t>
      </w:r>
      <w:proofErr w:type="spellEnd"/>
      <w:r w:rsidRPr="00C85668">
        <w:t>, 2013).</w:t>
      </w:r>
      <w:r>
        <w:t xml:space="preserve"> </w:t>
      </w:r>
    </w:p>
    <w:p w14:paraId="054873B8" w14:textId="77777777" w:rsidR="000503CD" w:rsidRPr="000503CD" w:rsidRDefault="000503CD" w:rsidP="000503CD">
      <w:pPr>
        <w:pStyle w:val="Corpodetexto"/>
        <w:numPr>
          <w:ilvl w:val="0"/>
          <w:numId w:val="1"/>
        </w:numPr>
        <w:ind w:left="270"/>
        <w:rPr>
          <w:lang w:val="en-US"/>
        </w:rPr>
      </w:pPr>
      <w:r w:rsidRPr="000503CD">
        <w:rPr>
          <w:b/>
          <w:bCs/>
          <w:lang w:val="en-US"/>
        </w:rPr>
        <w:t>Seismic inversion and application of relative acoustic impedance</w:t>
      </w:r>
    </w:p>
    <w:p w14:paraId="478C0587" w14:textId="64535464" w:rsidR="000503CD" w:rsidRPr="00254E9C" w:rsidRDefault="00814620" w:rsidP="000503CD">
      <w:pPr>
        <w:pStyle w:val="Corpodetexto"/>
        <w:rPr>
          <w:b/>
          <w:bCs/>
          <w:lang w:val="en-US"/>
        </w:rPr>
      </w:pPr>
      <w:r>
        <w:rPr>
          <w:lang w:val="en-US"/>
        </w:rPr>
        <w:t>We performed a</w:t>
      </w:r>
      <w:r w:rsidR="000503CD" w:rsidRPr="00254E9C">
        <w:rPr>
          <w:lang w:val="en-US"/>
        </w:rPr>
        <w:t xml:space="preserve"> sparse-spike inversion </w:t>
      </w:r>
      <w:r>
        <w:rPr>
          <w:lang w:val="en-US"/>
        </w:rPr>
        <w:t>to improve</w:t>
      </w:r>
      <w:r w:rsidR="000503CD" w:rsidRPr="00254E9C">
        <w:rPr>
          <w:lang w:val="en-US"/>
        </w:rPr>
        <w:t xml:space="preserve"> the identification of sandstone bodies. Through a sparse-spike inversion algorithm, the series of reflectivity coefficients that closely approximate the original seismic data is estimated using a minimum number of pulses (spikes) (</w:t>
      </w:r>
      <w:proofErr w:type="spellStart"/>
      <w:r w:rsidR="000503CD" w:rsidRPr="00254E9C">
        <w:rPr>
          <w:lang w:val="en-US"/>
        </w:rPr>
        <w:t>Debeye</w:t>
      </w:r>
      <w:proofErr w:type="spellEnd"/>
      <w:r w:rsidR="000503CD" w:rsidRPr="00254E9C">
        <w:rPr>
          <w:lang w:val="en-US"/>
        </w:rPr>
        <w:t xml:space="preserve"> &amp; Riel, 1990). The inverse problem solution is not unique, meaning there are many series of reflection coefficients that, when convolved with the seismic pulse, reproduce the seismic data. Restrictions were applied to the inversion process to limit the solutions and reduce the non-uniqueness of the inverse problem. As a result, the obtained outcome provides a better geological and geophysical interpretation.</w:t>
      </w:r>
    </w:p>
    <w:p w14:paraId="61BCE1E9" w14:textId="77777777" w:rsidR="000503CD" w:rsidRPr="00254E9C" w:rsidRDefault="000503CD" w:rsidP="000503CD">
      <w:pPr>
        <w:rPr>
          <w:lang w:val="en-US"/>
        </w:rPr>
      </w:pPr>
    </w:p>
    <w:p w14:paraId="263387A1" w14:textId="6BD96541" w:rsidR="000503CD" w:rsidRPr="000503CD" w:rsidRDefault="000503CD" w:rsidP="000503CD">
      <w:pPr>
        <w:pStyle w:val="Ttulo1"/>
        <w:spacing w:after="120"/>
      </w:pPr>
      <w:r w:rsidRPr="000503CD">
        <w:t>Results and Discussion</w:t>
      </w:r>
    </w:p>
    <w:p w14:paraId="34EFAE45" w14:textId="4BE94361" w:rsidR="000503CD" w:rsidRPr="00254E9C" w:rsidRDefault="000503CD" w:rsidP="000503CD">
      <w:pPr>
        <w:pStyle w:val="Corpodetexto"/>
        <w:rPr>
          <w:lang w:val="en-US"/>
        </w:rPr>
      </w:pPr>
      <w:r w:rsidRPr="00254E9C">
        <w:rPr>
          <w:lang w:val="en-US"/>
        </w:rPr>
        <w:t xml:space="preserve">The evaluation of the </w:t>
      </w:r>
      <w:r w:rsidR="00EE432A">
        <w:rPr>
          <w:lang w:val="en-US"/>
        </w:rPr>
        <w:t xml:space="preserve">well </w:t>
      </w:r>
      <w:r w:rsidRPr="00254E9C">
        <w:rPr>
          <w:lang w:val="en-US"/>
        </w:rPr>
        <w:t>logs started with the pioneer well (1_BRSA_607_SPS), which provided results that served as a guide for assessing the other wells. This well exhibits three sandstone zones, surrounded by shale layers with well-defined boundaries. These zones were named ARN1, ARN2, and ARN3, and they show low and similar clay volume values, with an average of 1.77%.</w:t>
      </w:r>
    </w:p>
    <w:p w14:paraId="69FD53A6" w14:textId="1EEA6BEA" w:rsidR="000503CD" w:rsidRPr="00254E9C" w:rsidRDefault="000503CD" w:rsidP="000503CD">
      <w:pPr>
        <w:pStyle w:val="Corpodetexto"/>
        <w:rPr>
          <w:lang w:val="en-US"/>
        </w:rPr>
      </w:pPr>
      <w:r w:rsidRPr="00254E9C">
        <w:rPr>
          <w:lang w:val="en-US"/>
        </w:rPr>
        <w:t xml:space="preserve">The reservoir zones have low values of acoustic impedance, with the ARN_2 zone having the lowest </w:t>
      </w:r>
      <w:r>
        <w:rPr>
          <w:lang w:val="en-US"/>
        </w:rPr>
        <w:t>AI</w:t>
      </w:r>
      <w:r w:rsidRPr="00254E9C">
        <w:rPr>
          <w:lang w:val="en-US"/>
        </w:rPr>
        <w:t xml:space="preserve"> values, around 4500</w:t>
      </w:r>
      <w:r>
        <w:rPr>
          <w:lang w:val="en-US"/>
        </w:rPr>
        <w:t xml:space="preserve"> </w:t>
      </w:r>
      <w:r w:rsidRPr="00254E9C">
        <w:rPr>
          <w:lang w:val="en-US"/>
        </w:rPr>
        <w:t>g/</w:t>
      </w:r>
      <m:oMath>
        <m:sSup>
          <m:sSupPr>
            <m:ctrlPr>
              <w:rPr>
                <w:rFonts w:ascii="Cambria Math" w:hAnsi="Cambria Math"/>
                <w:iCs/>
              </w:rPr>
            </m:ctrlPr>
          </m:sSupPr>
          <m:e>
            <m:r>
              <m:rPr>
                <m:sty m:val="p"/>
              </m:rPr>
              <w:rPr>
                <w:rFonts w:ascii="Cambria Math" w:hAnsi="Cambria Math"/>
                <w:lang w:val="en-US"/>
              </w:rPr>
              <m:t>cm</m:t>
            </m:r>
          </m:e>
          <m:sup>
            <m:r>
              <m:rPr>
                <m:sty m:val="p"/>
              </m:rPr>
              <w:rPr>
                <w:rFonts w:ascii="Cambria Math" w:hAnsi="Cambria Math"/>
                <w:lang w:val="en-US"/>
              </w:rPr>
              <m:t>3</m:t>
            </m:r>
          </m:sup>
        </m:sSup>
      </m:oMath>
      <w:r w:rsidRPr="003D5045">
        <w:rPr>
          <w:iCs/>
          <w:lang w:val="en-US"/>
        </w:rPr>
        <w:t>*</w:t>
      </w:r>
      <w:r w:rsidRPr="00254E9C">
        <w:rPr>
          <w:lang w:val="en-US"/>
        </w:rPr>
        <w:t xml:space="preserve">m/s. On the other hand, the shales have higher </w:t>
      </w:r>
      <w:r w:rsidR="004073FE">
        <w:rPr>
          <w:lang w:val="en-US"/>
        </w:rPr>
        <w:t>AI</w:t>
      </w:r>
      <w:r w:rsidRPr="00254E9C">
        <w:rPr>
          <w:lang w:val="en-US"/>
        </w:rPr>
        <w:t xml:space="preserve"> values compared to the sandstones. This demonstrates the potential of using </w:t>
      </w:r>
      <w:r w:rsidR="003D5045">
        <w:rPr>
          <w:lang w:val="en-US"/>
        </w:rPr>
        <w:t xml:space="preserve">acoustic impedance </w:t>
      </w:r>
      <w:r w:rsidRPr="00254E9C">
        <w:rPr>
          <w:lang w:val="en-US"/>
        </w:rPr>
        <w:t>for lithology separation in the study area. The average water saturation value found for the three zones was 25%, and the total and effective porosities were 33% and 32%, respectively.</w:t>
      </w:r>
    </w:p>
    <w:p w14:paraId="3D2B5321" w14:textId="77777777" w:rsidR="000503CD" w:rsidRPr="00254E9C" w:rsidRDefault="000503CD" w:rsidP="000503CD">
      <w:pPr>
        <w:pStyle w:val="Corpodetexto"/>
        <w:rPr>
          <w:lang w:val="en-US"/>
        </w:rPr>
        <w:sectPr w:rsidR="000503CD" w:rsidRPr="00254E9C" w:rsidSect="00631F4D">
          <w:type w:val="continuous"/>
          <w:pgSz w:w="12242" w:h="15842" w:code="1"/>
          <w:pgMar w:top="1418" w:right="1134" w:bottom="1418" w:left="1134" w:header="720" w:footer="84" w:gutter="0"/>
          <w:cols w:num="2" w:space="720"/>
          <w:docGrid w:linePitch="360"/>
        </w:sectPr>
      </w:pPr>
    </w:p>
    <w:p w14:paraId="4220FA05" w14:textId="3294ED73" w:rsidR="000503CD" w:rsidRDefault="003973F2" w:rsidP="000503CD">
      <w:pPr>
        <w:pStyle w:val="Corpodetexto"/>
        <w:keepNext/>
      </w:pPr>
      <w:r w:rsidRPr="003973F2">
        <w:rPr>
          <w:noProof/>
        </w:rPr>
        <w:lastRenderedPageBreak/>
        <w:drawing>
          <wp:inline distT="0" distB="0" distL="0" distR="0" wp14:anchorId="16662B19" wp14:editId="41BA656C">
            <wp:extent cx="6333490" cy="3058795"/>
            <wp:effectExtent l="0" t="0" r="0" b="8255"/>
            <wp:docPr id="1504800756" name="Imagem 1" descr="Gráfico de barr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00756" name="Imagem 1" descr="Gráfico de barras&#10;&#10;Descrição gerada automaticamente com confiança média"/>
                    <pic:cNvPicPr/>
                  </pic:nvPicPr>
                  <pic:blipFill>
                    <a:blip r:embed="rId15"/>
                    <a:stretch>
                      <a:fillRect/>
                    </a:stretch>
                  </pic:blipFill>
                  <pic:spPr>
                    <a:xfrm>
                      <a:off x="0" y="0"/>
                      <a:ext cx="6333490" cy="3058795"/>
                    </a:xfrm>
                    <a:prstGeom prst="rect">
                      <a:avLst/>
                    </a:prstGeom>
                  </pic:spPr>
                </pic:pic>
              </a:graphicData>
            </a:graphic>
          </wp:inline>
        </w:drawing>
      </w:r>
    </w:p>
    <w:p w14:paraId="06247447" w14:textId="62644368" w:rsidR="000503CD" w:rsidRPr="00976FC4" w:rsidRDefault="000503CD" w:rsidP="000503CD">
      <w:pPr>
        <w:pStyle w:val="Legenda"/>
        <w:jc w:val="center"/>
        <w:rPr>
          <w:rFonts w:ascii="Arial" w:hAnsi="Arial" w:cs="Arial"/>
          <w:sz w:val="18"/>
          <w:szCs w:val="18"/>
          <w:lang w:val="en-US"/>
        </w:rPr>
      </w:pPr>
      <w:r w:rsidRPr="00976FC4">
        <w:rPr>
          <w:rFonts w:ascii="Arial" w:hAnsi="Arial" w:cs="Arial"/>
          <w:sz w:val="18"/>
          <w:szCs w:val="18"/>
          <w:lang w:val="en-US"/>
        </w:rPr>
        <w:t xml:space="preserve">Figure </w:t>
      </w:r>
      <w:r w:rsidRPr="00976FC4">
        <w:rPr>
          <w:rFonts w:ascii="Arial" w:hAnsi="Arial" w:cs="Arial"/>
          <w:sz w:val="18"/>
          <w:szCs w:val="18"/>
        </w:rPr>
        <w:fldChar w:fldCharType="begin"/>
      </w:r>
      <w:r w:rsidRPr="00976FC4">
        <w:rPr>
          <w:rFonts w:ascii="Arial" w:hAnsi="Arial" w:cs="Arial"/>
          <w:sz w:val="18"/>
          <w:szCs w:val="18"/>
          <w:lang w:val="en-US"/>
        </w:rPr>
        <w:instrText xml:space="preserve"> SEQ Figura \* ARABIC </w:instrText>
      </w:r>
      <w:r w:rsidRPr="00976FC4">
        <w:rPr>
          <w:rFonts w:ascii="Arial" w:hAnsi="Arial" w:cs="Arial"/>
          <w:sz w:val="18"/>
          <w:szCs w:val="18"/>
        </w:rPr>
        <w:fldChar w:fldCharType="separate"/>
      </w:r>
      <w:r w:rsidR="00F120FC">
        <w:rPr>
          <w:rFonts w:ascii="Arial" w:hAnsi="Arial" w:cs="Arial"/>
          <w:noProof/>
          <w:sz w:val="18"/>
          <w:szCs w:val="18"/>
          <w:lang w:val="en-US"/>
        </w:rPr>
        <w:t>2</w:t>
      </w:r>
      <w:r w:rsidRPr="00976FC4">
        <w:rPr>
          <w:rFonts w:ascii="Arial" w:hAnsi="Arial" w:cs="Arial"/>
          <w:noProof/>
          <w:sz w:val="18"/>
          <w:szCs w:val="18"/>
        </w:rPr>
        <w:fldChar w:fldCharType="end"/>
      </w:r>
      <w:r w:rsidRPr="00976FC4">
        <w:rPr>
          <w:rFonts w:ascii="Arial" w:hAnsi="Arial" w:cs="Arial"/>
          <w:noProof/>
          <w:sz w:val="18"/>
          <w:szCs w:val="18"/>
          <w:lang w:val="en-US"/>
        </w:rPr>
        <w:t xml:space="preserve">: </w:t>
      </w:r>
      <w:r w:rsidRPr="00976FC4">
        <w:rPr>
          <w:rFonts w:ascii="Arial" w:hAnsi="Arial" w:cs="Arial"/>
          <w:b w:val="0"/>
          <w:bCs w:val="0"/>
          <w:sz w:val="18"/>
          <w:szCs w:val="18"/>
          <w:lang w:val="en-US"/>
        </w:rPr>
        <w:t xml:space="preserve">Interval </w:t>
      </w:r>
      <w:r w:rsidR="000D770B">
        <w:rPr>
          <w:rFonts w:ascii="Arial" w:hAnsi="Arial" w:cs="Arial"/>
          <w:b w:val="0"/>
          <w:bCs w:val="0"/>
          <w:sz w:val="18"/>
          <w:szCs w:val="18"/>
          <w:lang w:val="en-US"/>
        </w:rPr>
        <w:t>2100/21</w:t>
      </w:r>
      <w:r w:rsidR="00707A82">
        <w:rPr>
          <w:rFonts w:ascii="Arial" w:hAnsi="Arial" w:cs="Arial"/>
          <w:b w:val="0"/>
          <w:bCs w:val="0"/>
          <w:sz w:val="18"/>
          <w:szCs w:val="18"/>
          <w:lang w:val="en-US"/>
        </w:rPr>
        <w:t>5</w:t>
      </w:r>
      <w:r w:rsidR="000D770B">
        <w:rPr>
          <w:rFonts w:ascii="Arial" w:hAnsi="Arial" w:cs="Arial"/>
          <w:b w:val="0"/>
          <w:bCs w:val="0"/>
          <w:sz w:val="18"/>
          <w:szCs w:val="18"/>
          <w:lang w:val="en-US"/>
        </w:rPr>
        <w:t>0</w:t>
      </w:r>
      <w:r w:rsidRPr="00976FC4">
        <w:rPr>
          <w:rFonts w:ascii="Arial" w:hAnsi="Arial" w:cs="Arial"/>
          <w:b w:val="0"/>
          <w:bCs w:val="0"/>
          <w:sz w:val="18"/>
          <w:szCs w:val="18"/>
          <w:lang w:val="en-US"/>
        </w:rPr>
        <w:t xml:space="preserve"> m from well 1-BRSA-607-SPS. Order of tracks from left to right: Lithologies (ANP); Gamma Ray, Caliper, and Bit Size; Shallow, Medium and Deep Resistivity; Density and Neutron Porosity; Sonic; Acoustic Impedance; Clay Volume; Total and Effective Porosity; Water Saturation; Net Reservoir; Net Pay</w:t>
      </w:r>
      <w:r w:rsidRPr="00976FC4">
        <w:rPr>
          <w:rFonts w:ascii="Arial" w:hAnsi="Arial" w:cs="Arial"/>
          <w:sz w:val="18"/>
          <w:szCs w:val="18"/>
          <w:lang w:val="en-US"/>
        </w:rPr>
        <w:t>.</w:t>
      </w:r>
    </w:p>
    <w:p w14:paraId="3F8D6ED5" w14:textId="77777777" w:rsidR="000503CD" w:rsidRPr="00B53662" w:rsidRDefault="000503CD" w:rsidP="000503CD">
      <w:pPr>
        <w:pStyle w:val="Corpodetexto"/>
        <w:rPr>
          <w:lang w:val="en-US"/>
        </w:rPr>
        <w:sectPr w:rsidR="000503CD" w:rsidRPr="00B53662" w:rsidSect="00260B4F">
          <w:type w:val="continuous"/>
          <w:pgSz w:w="12242" w:h="15842" w:code="1"/>
          <w:pgMar w:top="1418" w:right="1134" w:bottom="1418" w:left="1134" w:header="720" w:footer="84" w:gutter="0"/>
          <w:cols w:space="720"/>
          <w:docGrid w:linePitch="360"/>
        </w:sectPr>
      </w:pPr>
    </w:p>
    <w:p w14:paraId="0EF31981" w14:textId="77777777" w:rsidR="00081EFF" w:rsidRPr="00081EFF" w:rsidRDefault="00081EFF" w:rsidP="000503CD">
      <w:pPr>
        <w:pStyle w:val="Corpodetexto"/>
        <w:rPr>
          <w:sz w:val="6"/>
          <w:szCs w:val="6"/>
          <w:lang w:val="en-US"/>
        </w:rPr>
      </w:pPr>
    </w:p>
    <w:p w14:paraId="7FBE9D32" w14:textId="48947882" w:rsidR="000503CD" w:rsidRPr="00254E9C" w:rsidRDefault="00F5361E" w:rsidP="000503CD">
      <w:pPr>
        <w:pStyle w:val="Corpodetexto"/>
        <w:rPr>
          <w:lang w:val="en-US"/>
        </w:rPr>
      </w:pPr>
      <w:r w:rsidRPr="00F5361E">
        <w:rPr>
          <w:lang w:val="en-US"/>
        </w:rPr>
        <w:t>We performed an acoustic impedance (AI) sensitivity analysis to identify lithologies in the range of interest.</w:t>
      </w:r>
      <w:r>
        <w:rPr>
          <w:lang w:val="en-US"/>
        </w:rPr>
        <w:t xml:space="preserve"> </w:t>
      </w:r>
      <w:r w:rsidRPr="00F5361E">
        <w:rPr>
          <w:lang w:val="en-US"/>
        </w:rPr>
        <w:t xml:space="preserve">Figure 3 displays the acoustic impedance histograms of sandstones and shales from </w:t>
      </w:r>
      <w:r w:rsidR="001C61FB">
        <w:rPr>
          <w:lang w:val="en-US"/>
        </w:rPr>
        <w:t>well 1-BRSA-607-SPS</w:t>
      </w:r>
      <w:r w:rsidRPr="00F5361E">
        <w:rPr>
          <w:lang w:val="en-US"/>
        </w:rPr>
        <w:t>.</w:t>
      </w:r>
      <w:r>
        <w:rPr>
          <w:lang w:val="en-US"/>
        </w:rPr>
        <w:t xml:space="preserve"> </w:t>
      </w:r>
      <w:r w:rsidR="002D73E7" w:rsidRPr="002D73E7">
        <w:rPr>
          <w:lang w:val="en-US"/>
        </w:rPr>
        <w:t>The mean and standard deviation for AI values in the sandstones are 5</w:t>
      </w:r>
      <w:r w:rsidR="002D73E7">
        <w:rPr>
          <w:lang w:val="en-US"/>
        </w:rPr>
        <w:t>2</w:t>
      </w:r>
      <w:r w:rsidR="002D73E7" w:rsidRPr="002D73E7">
        <w:rPr>
          <w:lang w:val="en-US"/>
        </w:rPr>
        <w:t>00</w:t>
      </w:r>
      <w:r w:rsidR="002D73E7">
        <w:rPr>
          <w:lang w:val="en-US"/>
        </w:rPr>
        <w:t xml:space="preserve"> </w:t>
      </w:r>
      <w:r w:rsidR="002D73E7" w:rsidRPr="00254E9C">
        <w:rPr>
          <w:lang w:val="en-US"/>
        </w:rPr>
        <w:t>g/</w:t>
      </w:r>
      <m:oMath>
        <m:sSup>
          <m:sSupPr>
            <m:ctrlPr>
              <w:rPr>
                <w:rFonts w:ascii="Cambria Math" w:hAnsi="Cambria Math"/>
                <w:iCs/>
              </w:rPr>
            </m:ctrlPr>
          </m:sSupPr>
          <m:e>
            <m:r>
              <m:rPr>
                <m:sty m:val="p"/>
              </m:rPr>
              <w:rPr>
                <w:rFonts w:ascii="Cambria Math" w:hAnsi="Cambria Math"/>
                <w:lang w:val="en-US"/>
              </w:rPr>
              <m:t>cm</m:t>
            </m:r>
          </m:e>
          <m:sup>
            <m:r>
              <m:rPr>
                <m:sty m:val="p"/>
              </m:rPr>
              <w:rPr>
                <w:rFonts w:ascii="Cambria Math" w:hAnsi="Cambria Math"/>
                <w:lang w:val="en-US"/>
              </w:rPr>
              <m:t>3</m:t>
            </m:r>
          </m:sup>
        </m:sSup>
      </m:oMath>
      <w:r w:rsidR="002D73E7" w:rsidRPr="00254E9C">
        <w:rPr>
          <w:lang w:val="en-US"/>
        </w:rPr>
        <w:t>*m/s</w:t>
      </w:r>
      <w:r w:rsidR="002D73E7" w:rsidRPr="002D73E7">
        <w:rPr>
          <w:lang w:val="en-US"/>
        </w:rPr>
        <w:t xml:space="preserve"> and </w:t>
      </w:r>
      <w:r w:rsidR="002D73E7">
        <w:rPr>
          <w:lang w:val="en-US"/>
        </w:rPr>
        <w:t>510</w:t>
      </w:r>
      <w:r w:rsidR="002D73E7" w:rsidRPr="002D73E7">
        <w:rPr>
          <w:lang w:val="en-US"/>
        </w:rPr>
        <w:t>, respectively</w:t>
      </w:r>
      <w:r w:rsidR="002D73E7">
        <w:rPr>
          <w:lang w:val="en-US"/>
        </w:rPr>
        <w:t>.</w:t>
      </w:r>
      <w:r w:rsidR="001162BB" w:rsidRPr="001162BB">
        <w:rPr>
          <w:lang w:val="en-US"/>
        </w:rPr>
        <w:t xml:space="preserve"> On the other hand, the shales have an average of 6720</w:t>
      </w:r>
      <w:r w:rsidR="001162BB">
        <w:rPr>
          <w:lang w:val="en-US"/>
        </w:rPr>
        <w:t xml:space="preserve"> </w:t>
      </w:r>
      <w:r w:rsidR="001162BB" w:rsidRPr="00254E9C">
        <w:rPr>
          <w:lang w:val="en-US"/>
        </w:rPr>
        <w:t>g/</w:t>
      </w:r>
      <m:oMath>
        <m:sSup>
          <m:sSupPr>
            <m:ctrlPr>
              <w:rPr>
                <w:rFonts w:ascii="Cambria Math" w:hAnsi="Cambria Math"/>
                <w:iCs/>
              </w:rPr>
            </m:ctrlPr>
          </m:sSupPr>
          <m:e>
            <m:r>
              <m:rPr>
                <m:sty m:val="p"/>
              </m:rPr>
              <w:rPr>
                <w:rFonts w:ascii="Cambria Math" w:hAnsi="Cambria Math"/>
                <w:lang w:val="en-US"/>
              </w:rPr>
              <m:t>cm</m:t>
            </m:r>
          </m:e>
          <m:sup>
            <m:r>
              <m:rPr>
                <m:sty m:val="p"/>
              </m:rPr>
              <w:rPr>
                <w:rFonts w:ascii="Cambria Math" w:hAnsi="Cambria Math"/>
                <w:lang w:val="en-US"/>
              </w:rPr>
              <m:t>3</m:t>
            </m:r>
          </m:sup>
        </m:sSup>
      </m:oMath>
      <w:r w:rsidR="001162BB" w:rsidRPr="00254E9C">
        <w:rPr>
          <w:lang w:val="en-US"/>
        </w:rPr>
        <w:t>*m/s</w:t>
      </w:r>
      <w:r w:rsidR="001162BB" w:rsidRPr="001162BB">
        <w:rPr>
          <w:lang w:val="en-US"/>
        </w:rPr>
        <w:t xml:space="preserve"> and a standard deviation of 317</w:t>
      </w:r>
      <w:r w:rsidR="000503CD">
        <w:rPr>
          <w:lang w:val="en-US"/>
        </w:rPr>
        <w:t>.</w:t>
      </w:r>
      <w:r w:rsidR="000503CD" w:rsidRPr="00254E9C">
        <w:rPr>
          <w:lang w:val="en-US"/>
        </w:rPr>
        <w:t xml:space="preserve"> Th</w:t>
      </w:r>
      <w:r w:rsidR="00A146E9">
        <w:rPr>
          <w:lang w:val="en-US"/>
        </w:rPr>
        <w:t xml:space="preserve">is </w:t>
      </w:r>
      <w:proofErr w:type="gramStart"/>
      <w:r w:rsidR="000503CD" w:rsidRPr="00254E9C">
        <w:rPr>
          <w:lang w:val="en-US"/>
        </w:rPr>
        <w:t>demonstra</w:t>
      </w:r>
      <w:r w:rsidR="00A146E9">
        <w:rPr>
          <w:lang w:val="en-US"/>
        </w:rPr>
        <w:t>te</w:t>
      </w:r>
      <w:proofErr w:type="gramEnd"/>
      <w:r w:rsidR="000503CD" w:rsidRPr="00254E9C">
        <w:rPr>
          <w:lang w:val="en-US"/>
        </w:rPr>
        <w:t xml:space="preserve"> the acoustic impedance ability to differentiate between sandstones and shales</w:t>
      </w:r>
      <w:r w:rsidR="00A146E9">
        <w:rPr>
          <w:lang w:val="en-US"/>
        </w:rPr>
        <w:t xml:space="preserve"> in the study area</w:t>
      </w:r>
      <w:r w:rsidR="000503CD" w:rsidRPr="00254E9C">
        <w:rPr>
          <w:lang w:val="en-US"/>
        </w:rPr>
        <w:t>.</w:t>
      </w:r>
    </w:p>
    <w:p w14:paraId="4EA18A4A" w14:textId="2B3056DE" w:rsidR="000503CD" w:rsidRDefault="00567DC3" w:rsidP="000503CD">
      <w:pPr>
        <w:pStyle w:val="Corpodetexto"/>
        <w:keepNext/>
      </w:pPr>
      <w:r w:rsidRPr="00567DC3">
        <w:rPr>
          <w:noProof/>
        </w:rPr>
        <w:drawing>
          <wp:inline distT="0" distB="0" distL="0" distR="0" wp14:anchorId="78814675" wp14:editId="778FC543">
            <wp:extent cx="2938145" cy="2146300"/>
            <wp:effectExtent l="0" t="0" r="0" b="6350"/>
            <wp:docPr id="1730321889" name="Imagem 1"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21889" name="Imagem 1" descr="Gráfico, Histograma&#10;&#10;Descrição gerada automaticamente"/>
                    <pic:cNvPicPr/>
                  </pic:nvPicPr>
                  <pic:blipFill>
                    <a:blip r:embed="rId16"/>
                    <a:stretch>
                      <a:fillRect/>
                    </a:stretch>
                  </pic:blipFill>
                  <pic:spPr>
                    <a:xfrm>
                      <a:off x="0" y="0"/>
                      <a:ext cx="2938145" cy="2146300"/>
                    </a:xfrm>
                    <a:prstGeom prst="rect">
                      <a:avLst/>
                    </a:prstGeom>
                  </pic:spPr>
                </pic:pic>
              </a:graphicData>
            </a:graphic>
          </wp:inline>
        </w:drawing>
      </w:r>
    </w:p>
    <w:p w14:paraId="26430DEE" w14:textId="75F24A5D" w:rsidR="000503CD" w:rsidRPr="00976FC4" w:rsidRDefault="000503CD" w:rsidP="000503CD">
      <w:pPr>
        <w:pStyle w:val="Legenda"/>
        <w:jc w:val="center"/>
        <w:rPr>
          <w:rFonts w:ascii="Arial" w:hAnsi="Arial" w:cs="Arial"/>
          <w:b w:val="0"/>
          <w:bCs w:val="0"/>
          <w:sz w:val="18"/>
          <w:szCs w:val="18"/>
          <w:lang w:val="en-US"/>
        </w:rPr>
      </w:pPr>
      <w:r w:rsidRPr="00976FC4">
        <w:rPr>
          <w:rFonts w:ascii="Arial" w:hAnsi="Arial" w:cs="Arial"/>
          <w:sz w:val="18"/>
          <w:szCs w:val="18"/>
          <w:lang w:val="en-US"/>
        </w:rPr>
        <w:t xml:space="preserve">Figure </w:t>
      </w:r>
      <w:r w:rsidRPr="00976FC4">
        <w:rPr>
          <w:rFonts w:ascii="Arial" w:hAnsi="Arial" w:cs="Arial"/>
          <w:sz w:val="18"/>
          <w:szCs w:val="18"/>
        </w:rPr>
        <w:fldChar w:fldCharType="begin"/>
      </w:r>
      <w:r w:rsidRPr="00976FC4">
        <w:rPr>
          <w:rFonts w:ascii="Arial" w:hAnsi="Arial" w:cs="Arial"/>
          <w:sz w:val="18"/>
          <w:szCs w:val="18"/>
          <w:lang w:val="en-US"/>
        </w:rPr>
        <w:instrText xml:space="preserve"> SEQ Figura \* ARABIC </w:instrText>
      </w:r>
      <w:r w:rsidRPr="00976FC4">
        <w:rPr>
          <w:rFonts w:ascii="Arial" w:hAnsi="Arial" w:cs="Arial"/>
          <w:sz w:val="18"/>
          <w:szCs w:val="18"/>
        </w:rPr>
        <w:fldChar w:fldCharType="separate"/>
      </w:r>
      <w:r w:rsidR="00F120FC">
        <w:rPr>
          <w:rFonts w:ascii="Arial" w:hAnsi="Arial" w:cs="Arial"/>
          <w:noProof/>
          <w:sz w:val="18"/>
          <w:szCs w:val="18"/>
          <w:lang w:val="en-US"/>
        </w:rPr>
        <w:t>3</w:t>
      </w:r>
      <w:r w:rsidRPr="00976FC4">
        <w:rPr>
          <w:rFonts w:ascii="Arial" w:hAnsi="Arial" w:cs="Arial"/>
          <w:noProof/>
          <w:sz w:val="18"/>
          <w:szCs w:val="18"/>
        </w:rPr>
        <w:fldChar w:fldCharType="end"/>
      </w:r>
      <w:r w:rsidRPr="00976FC4">
        <w:rPr>
          <w:rFonts w:ascii="Arial" w:hAnsi="Arial" w:cs="Arial"/>
          <w:sz w:val="18"/>
          <w:szCs w:val="18"/>
          <w:lang w:val="en-US"/>
        </w:rPr>
        <w:t xml:space="preserve">: </w:t>
      </w:r>
      <w:r w:rsidRPr="00976FC4">
        <w:rPr>
          <w:rFonts w:ascii="Arial" w:hAnsi="Arial" w:cs="Arial"/>
          <w:b w:val="0"/>
          <w:bCs w:val="0"/>
          <w:sz w:val="18"/>
          <w:szCs w:val="18"/>
          <w:lang w:val="en-US"/>
        </w:rPr>
        <w:t>Histogram of acoustic impedance (X-axis) colored by lithology for all wells.</w:t>
      </w:r>
    </w:p>
    <w:p w14:paraId="123E4A9B" w14:textId="77777777" w:rsidR="00081EFF" w:rsidRDefault="00081EFF" w:rsidP="000503CD">
      <w:pPr>
        <w:rPr>
          <w:lang w:val="en-US"/>
        </w:rPr>
      </w:pPr>
    </w:p>
    <w:p w14:paraId="757A1D27" w14:textId="67D9311E" w:rsidR="000503CD" w:rsidRPr="0098644E" w:rsidRDefault="00BE5D50" w:rsidP="000503CD">
      <w:pPr>
        <w:rPr>
          <w:lang w:val="en-US"/>
        </w:rPr>
      </w:pPr>
      <w:r>
        <w:rPr>
          <w:lang w:val="en-US"/>
        </w:rPr>
        <w:br w:type="column"/>
      </w:r>
    </w:p>
    <w:p w14:paraId="52D33979" w14:textId="77777777" w:rsidR="00081EFF" w:rsidRPr="00081EFF" w:rsidRDefault="00081EFF" w:rsidP="00081EFF">
      <w:pPr>
        <w:jc w:val="both"/>
        <w:rPr>
          <w:rFonts w:ascii="Arial" w:hAnsi="Arial" w:cs="Arial"/>
          <w:sz w:val="2"/>
          <w:szCs w:val="2"/>
          <w:lang w:val="en-US"/>
        </w:rPr>
      </w:pPr>
    </w:p>
    <w:p w14:paraId="3083729E" w14:textId="2BF9F3BA" w:rsidR="000503CD" w:rsidRPr="005E7C3F" w:rsidRDefault="00F5361E" w:rsidP="00081EFF">
      <w:pPr>
        <w:jc w:val="both"/>
        <w:rPr>
          <w:sz w:val="10"/>
          <w:szCs w:val="10"/>
          <w:lang w:val="en-US"/>
        </w:rPr>
      </w:pPr>
      <w:r w:rsidRPr="00F5361E">
        <w:rPr>
          <w:rFonts w:ascii="Arial" w:hAnsi="Arial" w:cs="Arial"/>
          <w:sz w:val="18"/>
          <w:szCs w:val="18"/>
          <w:lang w:val="en-US"/>
        </w:rPr>
        <w:t xml:space="preserve">The crossplots of effective porosity versus acoustic impedance show that sandstones have high porosity and low </w:t>
      </w:r>
      <w:r w:rsidR="0074609A">
        <w:rPr>
          <w:rFonts w:ascii="Arial" w:hAnsi="Arial" w:cs="Arial"/>
          <w:sz w:val="18"/>
          <w:szCs w:val="18"/>
          <w:lang w:val="en-US"/>
        </w:rPr>
        <w:t>AI</w:t>
      </w:r>
      <w:r w:rsidRPr="00F5361E">
        <w:rPr>
          <w:rFonts w:ascii="Arial" w:hAnsi="Arial" w:cs="Arial"/>
          <w:sz w:val="18"/>
          <w:szCs w:val="18"/>
          <w:lang w:val="en-US"/>
        </w:rPr>
        <w:t xml:space="preserve"> values and shales have high acoustic impedance and low porosity values (Figure 4). Figures </w:t>
      </w:r>
      <w:r w:rsidR="00A146E9">
        <w:rPr>
          <w:rFonts w:ascii="Arial" w:hAnsi="Arial" w:cs="Arial"/>
          <w:sz w:val="18"/>
          <w:szCs w:val="18"/>
          <w:lang w:val="en-US"/>
        </w:rPr>
        <w:t>3</w:t>
      </w:r>
      <w:r w:rsidRPr="00F5361E">
        <w:rPr>
          <w:rFonts w:ascii="Arial" w:hAnsi="Arial" w:cs="Arial"/>
          <w:sz w:val="18"/>
          <w:szCs w:val="18"/>
          <w:lang w:val="en-US"/>
        </w:rPr>
        <w:t xml:space="preserve"> and </w:t>
      </w:r>
      <w:r w:rsidR="00A146E9">
        <w:rPr>
          <w:rFonts w:ascii="Arial" w:hAnsi="Arial" w:cs="Arial"/>
          <w:sz w:val="18"/>
          <w:szCs w:val="18"/>
          <w:lang w:val="en-US"/>
        </w:rPr>
        <w:t>4</w:t>
      </w:r>
      <w:r w:rsidRPr="00F5361E">
        <w:rPr>
          <w:rFonts w:ascii="Arial" w:hAnsi="Arial" w:cs="Arial"/>
          <w:sz w:val="18"/>
          <w:szCs w:val="18"/>
          <w:lang w:val="en-US"/>
        </w:rPr>
        <w:t xml:space="preserve"> </w:t>
      </w:r>
      <w:r w:rsidR="00A146E9">
        <w:rPr>
          <w:rFonts w:ascii="Arial" w:hAnsi="Arial" w:cs="Arial"/>
          <w:sz w:val="18"/>
          <w:szCs w:val="18"/>
          <w:lang w:val="en-US"/>
        </w:rPr>
        <w:t>prove</w:t>
      </w:r>
      <w:r w:rsidRPr="00F5361E">
        <w:rPr>
          <w:rFonts w:ascii="Arial" w:hAnsi="Arial" w:cs="Arial"/>
          <w:sz w:val="18"/>
          <w:szCs w:val="18"/>
          <w:lang w:val="en-US"/>
        </w:rPr>
        <w:t xml:space="preserve"> the potential of IP to separate lithologies and identify regions with greater porosity.</w:t>
      </w:r>
    </w:p>
    <w:p w14:paraId="3DD0F2BD" w14:textId="25BE9C05" w:rsidR="000503CD" w:rsidRDefault="000412E9" w:rsidP="000503CD">
      <w:pPr>
        <w:keepNext/>
      </w:pPr>
      <w:r w:rsidRPr="000412E9">
        <w:rPr>
          <w:noProof/>
        </w:rPr>
        <w:drawing>
          <wp:inline distT="0" distB="0" distL="0" distR="0" wp14:anchorId="1C743553" wp14:editId="47505E6A">
            <wp:extent cx="2938145" cy="1823720"/>
            <wp:effectExtent l="0" t="0" r="0" b="5080"/>
            <wp:docPr id="1070205848" name="Imagem 1"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05848" name="Imagem 1" descr="Gráfico, Gráfico de dispersão&#10;&#10;Descrição gerada automaticamente"/>
                    <pic:cNvPicPr/>
                  </pic:nvPicPr>
                  <pic:blipFill>
                    <a:blip r:embed="rId17"/>
                    <a:stretch>
                      <a:fillRect/>
                    </a:stretch>
                  </pic:blipFill>
                  <pic:spPr>
                    <a:xfrm>
                      <a:off x="0" y="0"/>
                      <a:ext cx="2938145" cy="1823720"/>
                    </a:xfrm>
                    <a:prstGeom prst="rect">
                      <a:avLst/>
                    </a:prstGeom>
                  </pic:spPr>
                </pic:pic>
              </a:graphicData>
            </a:graphic>
          </wp:inline>
        </w:drawing>
      </w:r>
    </w:p>
    <w:p w14:paraId="13FD0040" w14:textId="0CF2E29E" w:rsidR="000503CD" w:rsidRPr="00976FC4" w:rsidRDefault="000503CD" w:rsidP="000503CD">
      <w:pPr>
        <w:pStyle w:val="Legenda"/>
        <w:jc w:val="center"/>
        <w:rPr>
          <w:rFonts w:ascii="Arial" w:hAnsi="Arial" w:cs="Arial"/>
          <w:sz w:val="18"/>
          <w:szCs w:val="18"/>
          <w:lang w:val="en-US"/>
        </w:rPr>
      </w:pPr>
      <w:r w:rsidRPr="00976FC4">
        <w:rPr>
          <w:rFonts w:ascii="Arial" w:hAnsi="Arial" w:cs="Arial"/>
          <w:sz w:val="18"/>
          <w:szCs w:val="18"/>
          <w:lang w:val="en-US"/>
        </w:rPr>
        <w:t xml:space="preserve">Figure </w:t>
      </w:r>
      <w:r w:rsidRPr="00976FC4">
        <w:rPr>
          <w:rFonts w:ascii="Arial" w:hAnsi="Arial" w:cs="Arial"/>
          <w:sz w:val="18"/>
          <w:szCs w:val="18"/>
        </w:rPr>
        <w:fldChar w:fldCharType="begin"/>
      </w:r>
      <w:r w:rsidRPr="00976FC4">
        <w:rPr>
          <w:rFonts w:ascii="Arial" w:hAnsi="Arial" w:cs="Arial"/>
          <w:sz w:val="18"/>
          <w:szCs w:val="18"/>
          <w:lang w:val="en-US"/>
        </w:rPr>
        <w:instrText xml:space="preserve"> SEQ Figura \* ARABIC </w:instrText>
      </w:r>
      <w:r w:rsidRPr="00976FC4">
        <w:rPr>
          <w:rFonts w:ascii="Arial" w:hAnsi="Arial" w:cs="Arial"/>
          <w:sz w:val="18"/>
          <w:szCs w:val="18"/>
        </w:rPr>
        <w:fldChar w:fldCharType="separate"/>
      </w:r>
      <w:r w:rsidR="00F120FC">
        <w:rPr>
          <w:rFonts w:ascii="Arial" w:hAnsi="Arial" w:cs="Arial"/>
          <w:noProof/>
          <w:sz w:val="18"/>
          <w:szCs w:val="18"/>
          <w:lang w:val="en-US"/>
        </w:rPr>
        <w:t>4</w:t>
      </w:r>
      <w:r w:rsidRPr="00976FC4">
        <w:rPr>
          <w:rFonts w:ascii="Arial" w:hAnsi="Arial" w:cs="Arial"/>
          <w:sz w:val="18"/>
          <w:szCs w:val="18"/>
        </w:rPr>
        <w:fldChar w:fldCharType="end"/>
      </w:r>
      <w:r w:rsidRPr="00976FC4">
        <w:rPr>
          <w:rFonts w:ascii="Arial" w:hAnsi="Arial" w:cs="Arial"/>
          <w:sz w:val="18"/>
          <w:szCs w:val="18"/>
          <w:lang w:val="en-US"/>
        </w:rPr>
        <w:t xml:space="preserve">: </w:t>
      </w:r>
      <w:r w:rsidRPr="00976FC4">
        <w:rPr>
          <w:rFonts w:ascii="Arial" w:hAnsi="Arial" w:cs="Arial"/>
          <w:b w:val="0"/>
          <w:bCs w:val="0"/>
          <w:sz w:val="18"/>
          <w:szCs w:val="18"/>
          <w:lang w:val="en-US"/>
        </w:rPr>
        <w:t>Crossplot Porosity versus Acoustic Impedance.</w:t>
      </w:r>
    </w:p>
    <w:p w14:paraId="6BFF4494" w14:textId="77777777" w:rsidR="000503CD" w:rsidRPr="00915E7F" w:rsidRDefault="000503CD" w:rsidP="000503CD">
      <w:pPr>
        <w:rPr>
          <w:sz w:val="12"/>
          <w:szCs w:val="12"/>
          <w:lang w:val="en-US"/>
        </w:rPr>
      </w:pPr>
    </w:p>
    <w:p w14:paraId="3AF6DDD9" w14:textId="5DD7C61E" w:rsidR="000503CD" w:rsidRPr="00D622A3" w:rsidRDefault="00E92978" w:rsidP="000503CD">
      <w:pPr>
        <w:pStyle w:val="Corpodetexto"/>
        <w:rPr>
          <w:lang w:val="en-US"/>
        </w:rPr>
      </w:pPr>
      <w:r w:rsidRPr="00E92978">
        <w:rPr>
          <w:lang w:val="en-US"/>
        </w:rPr>
        <w:t xml:space="preserve">The seismic attributes RMS and relative acoustic impedance </w:t>
      </w:r>
      <w:r w:rsidR="00A146E9" w:rsidRPr="00E92978">
        <w:rPr>
          <w:lang w:val="en-US"/>
        </w:rPr>
        <w:t>employed</w:t>
      </w:r>
      <w:r w:rsidRPr="00E92978">
        <w:rPr>
          <w:lang w:val="en-US"/>
        </w:rPr>
        <w:t xml:space="preserve"> together allowed a better understanding of the depositional system. We have used these attributes to generate geobody and perform porosity and fluid saturation modeling</w:t>
      </w:r>
      <w:r>
        <w:rPr>
          <w:lang w:val="en-US"/>
        </w:rPr>
        <w:t xml:space="preserve"> (Lupinacci et al., 2021)</w:t>
      </w:r>
      <w:r w:rsidRPr="00E92978">
        <w:rPr>
          <w:lang w:val="en-US"/>
        </w:rPr>
        <w:t>.</w:t>
      </w:r>
    </w:p>
    <w:p w14:paraId="2BA99FE1" w14:textId="72340437" w:rsidR="000503CD" w:rsidRPr="00D622A3" w:rsidRDefault="000503CD" w:rsidP="000503CD">
      <w:pPr>
        <w:pStyle w:val="Corpodetexto"/>
        <w:rPr>
          <w:lang w:val="en-US"/>
        </w:rPr>
      </w:pPr>
      <w:r w:rsidRPr="00D622A3">
        <w:rPr>
          <w:lang w:val="en-US"/>
        </w:rPr>
        <w:t xml:space="preserve">The RMS amplitude attribute highlighted the distribution of turbidites and helped to better understand the reservoir shapes in the </w:t>
      </w:r>
      <w:proofErr w:type="spellStart"/>
      <w:r w:rsidRPr="00D622A3">
        <w:rPr>
          <w:lang w:val="en-US"/>
        </w:rPr>
        <w:t>Baúna</w:t>
      </w:r>
      <w:proofErr w:type="spellEnd"/>
      <w:r w:rsidRPr="00D622A3">
        <w:rPr>
          <w:lang w:val="en-US"/>
        </w:rPr>
        <w:t xml:space="preserve"> and </w:t>
      </w:r>
      <w:proofErr w:type="spellStart"/>
      <w:r w:rsidRPr="00D622A3">
        <w:rPr>
          <w:lang w:val="en-US"/>
        </w:rPr>
        <w:t>Piracaba</w:t>
      </w:r>
      <w:proofErr w:type="spellEnd"/>
      <w:r w:rsidRPr="00D622A3">
        <w:rPr>
          <w:lang w:val="en-US"/>
        </w:rPr>
        <w:t xml:space="preserve"> fields. Figure </w:t>
      </w:r>
      <w:r>
        <w:rPr>
          <w:lang w:val="en-US"/>
        </w:rPr>
        <w:t>5</w:t>
      </w:r>
      <w:r w:rsidRPr="00D622A3">
        <w:rPr>
          <w:lang w:val="en-US"/>
        </w:rPr>
        <w:t xml:space="preserve"> </w:t>
      </w:r>
      <w:r w:rsidR="00642E37" w:rsidRPr="00642E37">
        <w:rPr>
          <w:lang w:val="en-US"/>
        </w:rPr>
        <w:t>illustrates</w:t>
      </w:r>
      <w:r w:rsidRPr="00D622A3">
        <w:rPr>
          <w:lang w:val="en-US"/>
        </w:rPr>
        <w:t xml:space="preserve"> a time slice at 2080 </w:t>
      </w:r>
      <w:proofErr w:type="spellStart"/>
      <w:r w:rsidRPr="00D622A3">
        <w:rPr>
          <w:lang w:val="en-US"/>
        </w:rPr>
        <w:t>ms</w:t>
      </w:r>
      <w:proofErr w:type="spellEnd"/>
      <w:r w:rsidR="00152F2A">
        <w:rPr>
          <w:lang w:val="en-US"/>
        </w:rPr>
        <w:t xml:space="preserve"> of the RMS</w:t>
      </w:r>
      <w:r w:rsidRPr="00D622A3">
        <w:rPr>
          <w:lang w:val="en-US"/>
        </w:rPr>
        <w:t xml:space="preserve">, where </w:t>
      </w:r>
      <w:r w:rsidR="00152F2A" w:rsidRPr="00152F2A">
        <w:rPr>
          <w:lang w:val="en-US"/>
        </w:rPr>
        <w:t>channel</w:t>
      </w:r>
      <w:r w:rsidR="00152F2A">
        <w:rPr>
          <w:lang w:val="en-US"/>
        </w:rPr>
        <w:t xml:space="preserve"> and </w:t>
      </w:r>
      <w:r w:rsidRPr="00D622A3">
        <w:rPr>
          <w:lang w:val="en-US"/>
        </w:rPr>
        <w:t xml:space="preserve">two turbidite lobes </w:t>
      </w:r>
      <w:r w:rsidR="00152F2A" w:rsidRPr="00D622A3">
        <w:rPr>
          <w:lang w:val="en-US"/>
        </w:rPr>
        <w:t xml:space="preserve">are highlighted </w:t>
      </w:r>
      <w:r w:rsidRPr="00D622A3">
        <w:rPr>
          <w:lang w:val="en-US"/>
        </w:rPr>
        <w:t xml:space="preserve">in the </w:t>
      </w:r>
      <w:proofErr w:type="spellStart"/>
      <w:r w:rsidRPr="00D622A3">
        <w:rPr>
          <w:lang w:val="en-US"/>
        </w:rPr>
        <w:t>Marambaia</w:t>
      </w:r>
      <w:proofErr w:type="spellEnd"/>
      <w:r w:rsidRPr="00D622A3">
        <w:rPr>
          <w:lang w:val="en-US"/>
        </w:rPr>
        <w:t xml:space="preserve"> Formation, of Eocene age. In the main lobe to </w:t>
      </w:r>
      <w:r w:rsidRPr="00D622A3">
        <w:rPr>
          <w:lang w:val="en-US"/>
        </w:rPr>
        <w:lastRenderedPageBreak/>
        <w:t>the north, the feeder channel and its entire fan can be observed. In the turbidite deposit to the south, only the distal lobe is visible, and it is not possible to identify its feeder channel as it lies outside the limits of the database. Therefore, it is not possible to conclude whether the two lobes are fed by the same channel.</w:t>
      </w:r>
    </w:p>
    <w:p w14:paraId="2567509C" w14:textId="77777777" w:rsidR="000503CD" w:rsidRDefault="000503CD" w:rsidP="000503CD">
      <w:pPr>
        <w:pStyle w:val="Corpodetexto"/>
        <w:keepNext/>
        <w:jc w:val="center"/>
      </w:pPr>
      <w:r w:rsidRPr="00213D6B">
        <w:rPr>
          <w:noProof/>
        </w:rPr>
        <w:drawing>
          <wp:inline distT="0" distB="0" distL="0" distR="0" wp14:anchorId="297030ED" wp14:editId="5011C458">
            <wp:extent cx="2835863" cy="2376805"/>
            <wp:effectExtent l="0" t="0" r="3175" b="4445"/>
            <wp:docPr id="2002266845"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66845" name="Imagem 1" descr="Uma imagem contendo Interface gráfica do usuário&#10;&#10;Descrição gerada automaticamente"/>
                    <pic:cNvPicPr/>
                  </pic:nvPicPr>
                  <pic:blipFill>
                    <a:blip r:embed="rId18"/>
                    <a:stretch>
                      <a:fillRect/>
                    </a:stretch>
                  </pic:blipFill>
                  <pic:spPr>
                    <a:xfrm>
                      <a:off x="0" y="0"/>
                      <a:ext cx="2839886" cy="2380177"/>
                    </a:xfrm>
                    <a:prstGeom prst="rect">
                      <a:avLst/>
                    </a:prstGeom>
                  </pic:spPr>
                </pic:pic>
              </a:graphicData>
            </a:graphic>
          </wp:inline>
        </w:drawing>
      </w:r>
    </w:p>
    <w:p w14:paraId="078C2A4C" w14:textId="0882F7EA" w:rsidR="000503CD" w:rsidRPr="00976FC4" w:rsidRDefault="000503CD" w:rsidP="000503CD">
      <w:pPr>
        <w:pStyle w:val="Legenda"/>
        <w:jc w:val="center"/>
        <w:rPr>
          <w:rFonts w:ascii="Arial" w:hAnsi="Arial" w:cs="Arial"/>
          <w:sz w:val="18"/>
          <w:szCs w:val="18"/>
          <w:lang w:val="en-US"/>
        </w:rPr>
      </w:pPr>
      <w:r w:rsidRPr="00976FC4">
        <w:rPr>
          <w:rFonts w:ascii="Arial" w:hAnsi="Arial" w:cs="Arial"/>
          <w:sz w:val="18"/>
          <w:szCs w:val="18"/>
          <w:lang w:val="en-US"/>
        </w:rPr>
        <w:t xml:space="preserve">Figure </w:t>
      </w:r>
      <w:r w:rsidRPr="00976FC4">
        <w:rPr>
          <w:rFonts w:ascii="Arial" w:hAnsi="Arial" w:cs="Arial"/>
          <w:sz w:val="18"/>
          <w:szCs w:val="18"/>
        </w:rPr>
        <w:fldChar w:fldCharType="begin"/>
      </w:r>
      <w:r w:rsidRPr="00976FC4">
        <w:rPr>
          <w:rFonts w:ascii="Arial" w:hAnsi="Arial" w:cs="Arial"/>
          <w:sz w:val="18"/>
          <w:szCs w:val="18"/>
          <w:lang w:val="en-US"/>
        </w:rPr>
        <w:instrText xml:space="preserve"> SEQ Figura \* ARABIC </w:instrText>
      </w:r>
      <w:r w:rsidRPr="00976FC4">
        <w:rPr>
          <w:rFonts w:ascii="Arial" w:hAnsi="Arial" w:cs="Arial"/>
          <w:sz w:val="18"/>
          <w:szCs w:val="18"/>
        </w:rPr>
        <w:fldChar w:fldCharType="separate"/>
      </w:r>
      <w:r w:rsidR="00F120FC">
        <w:rPr>
          <w:rFonts w:ascii="Arial" w:hAnsi="Arial" w:cs="Arial"/>
          <w:noProof/>
          <w:sz w:val="18"/>
          <w:szCs w:val="18"/>
          <w:lang w:val="en-US"/>
        </w:rPr>
        <w:t>5</w:t>
      </w:r>
      <w:r w:rsidRPr="00976FC4">
        <w:rPr>
          <w:rFonts w:ascii="Arial" w:hAnsi="Arial" w:cs="Arial"/>
          <w:noProof/>
          <w:sz w:val="18"/>
          <w:szCs w:val="18"/>
        </w:rPr>
        <w:fldChar w:fldCharType="end"/>
      </w:r>
      <w:r w:rsidRPr="00976FC4">
        <w:rPr>
          <w:rFonts w:ascii="Arial" w:hAnsi="Arial" w:cs="Arial"/>
          <w:sz w:val="18"/>
          <w:szCs w:val="18"/>
          <w:lang w:val="en-US"/>
        </w:rPr>
        <w:t xml:space="preserve">: </w:t>
      </w:r>
      <w:r w:rsidR="00E92978" w:rsidRPr="00260BA6">
        <w:rPr>
          <w:rFonts w:ascii="Arial" w:hAnsi="Arial" w:cs="Arial"/>
          <w:b w:val="0"/>
          <w:bCs w:val="0"/>
          <w:sz w:val="18"/>
          <w:szCs w:val="18"/>
          <w:lang w:val="en-US"/>
        </w:rPr>
        <w:t>Time</w:t>
      </w:r>
      <w:r w:rsidR="00E92978">
        <w:rPr>
          <w:rFonts w:ascii="Arial" w:hAnsi="Arial" w:cs="Arial"/>
          <w:sz w:val="18"/>
          <w:szCs w:val="18"/>
          <w:lang w:val="en-US"/>
        </w:rPr>
        <w:t xml:space="preserve"> </w:t>
      </w:r>
      <w:r w:rsidR="00E92978">
        <w:rPr>
          <w:rFonts w:ascii="Arial" w:hAnsi="Arial" w:cs="Arial"/>
          <w:b w:val="0"/>
          <w:bCs w:val="0"/>
          <w:sz w:val="18"/>
          <w:szCs w:val="18"/>
          <w:lang w:val="en-US"/>
        </w:rPr>
        <w:t>s</w:t>
      </w:r>
      <w:r w:rsidRPr="00976FC4">
        <w:rPr>
          <w:rFonts w:ascii="Arial" w:hAnsi="Arial" w:cs="Arial"/>
          <w:b w:val="0"/>
          <w:bCs w:val="0"/>
          <w:sz w:val="18"/>
          <w:szCs w:val="18"/>
          <w:lang w:val="en-US"/>
        </w:rPr>
        <w:t>lice at 2080ms with RMS amplitude attribute.</w:t>
      </w:r>
    </w:p>
    <w:p w14:paraId="273F4CE0" w14:textId="77777777" w:rsidR="000503CD" w:rsidRPr="0098644E" w:rsidRDefault="000503CD" w:rsidP="000503CD">
      <w:pPr>
        <w:pStyle w:val="Corpodetexto"/>
        <w:rPr>
          <w:sz w:val="4"/>
          <w:szCs w:val="4"/>
          <w:lang w:val="en-US"/>
        </w:rPr>
      </w:pPr>
    </w:p>
    <w:p w14:paraId="4274E7BF" w14:textId="64311DF8" w:rsidR="000503CD" w:rsidRDefault="000503CD" w:rsidP="000503CD">
      <w:pPr>
        <w:pStyle w:val="Corpodetexto"/>
        <w:keepNext/>
        <w:rPr>
          <w:lang w:val="en-US"/>
        </w:rPr>
      </w:pPr>
      <w:r w:rsidRPr="00D622A3">
        <w:rPr>
          <w:lang w:val="en-US"/>
        </w:rPr>
        <w:t xml:space="preserve">For the analysis of the </w:t>
      </w:r>
      <w:r w:rsidR="00715F91">
        <w:rPr>
          <w:lang w:val="en-US"/>
        </w:rPr>
        <w:t xml:space="preserve">seismic </w:t>
      </w:r>
      <w:r w:rsidRPr="00D622A3">
        <w:rPr>
          <w:lang w:val="en-US"/>
        </w:rPr>
        <w:t xml:space="preserve">inversion results, the relative acoustic impedance model is displayed in a time slice </w:t>
      </w:r>
      <w:proofErr w:type="gramStart"/>
      <w:r w:rsidRPr="00D622A3">
        <w:rPr>
          <w:lang w:val="en-US"/>
        </w:rPr>
        <w:t>at</w:t>
      </w:r>
      <w:proofErr w:type="gramEnd"/>
      <w:r w:rsidRPr="00D622A3">
        <w:rPr>
          <w:lang w:val="en-US"/>
        </w:rPr>
        <w:t xml:space="preserve"> 2080 </w:t>
      </w:r>
      <w:proofErr w:type="spellStart"/>
      <w:r w:rsidRPr="00D622A3">
        <w:rPr>
          <w:lang w:val="en-US"/>
        </w:rPr>
        <w:t>ms</w:t>
      </w:r>
      <w:proofErr w:type="spellEnd"/>
      <w:r>
        <w:rPr>
          <w:lang w:val="en-US"/>
        </w:rPr>
        <w:t xml:space="preserve"> (Figure 6)</w:t>
      </w:r>
      <w:r w:rsidRPr="00D622A3">
        <w:rPr>
          <w:lang w:val="en-US"/>
        </w:rPr>
        <w:t xml:space="preserve">. In the interval of interest, negative values of </w:t>
      </w:r>
      <w:r w:rsidR="004073FE">
        <w:rPr>
          <w:lang w:val="en-US"/>
        </w:rPr>
        <w:t>AI</w:t>
      </w:r>
      <w:r w:rsidRPr="00D622A3">
        <w:rPr>
          <w:lang w:val="en-US"/>
        </w:rPr>
        <w:t xml:space="preserve">, represented by red, can correspond to the sandstones. The color mapping allows for the visualization and identification of potential sandstone reservoirs within the studied </w:t>
      </w:r>
      <w:r>
        <w:rPr>
          <w:lang w:val="en-US"/>
        </w:rPr>
        <w:t>area.</w:t>
      </w:r>
    </w:p>
    <w:p w14:paraId="19EB50F9" w14:textId="77777777" w:rsidR="000503CD" w:rsidRPr="00D622A3" w:rsidRDefault="000503CD" w:rsidP="000503CD">
      <w:pPr>
        <w:pStyle w:val="Corpodetexto"/>
        <w:keepNext/>
        <w:rPr>
          <w:lang w:val="en-US"/>
        </w:rPr>
      </w:pPr>
      <w:r w:rsidRPr="00213D6B">
        <w:rPr>
          <w:noProof/>
          <w:lang w:val="en-US"/>
        </w:rPr>
        <w:drawing>
          <wp:inline distT="0" distB="0" distL="0" distR="0" wp14:anchorId="54A6526A" wp14:editId="0BB47C4F">
            <wp:extent cx="2913207" cy="2447925"/>
            <wp:effectExtent l="0" t="0" r="1905" b="0"/>
            <wp:docPr id="1863097437" name="Imagem 1" descr="Uma imagem contend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97437" name="Imagem 1" descr="Uma imagem contendo Mapa&#10;&#10;Descrição gerada automaticamente"/>
                    <pic:cNvPicPr/>
                  </pic:nvPicPr>
                  <pic:blipFill>
                    <a:blip r:embed="rId19"/>
                    <a:stretch>
                      <a:fillRect/>
                    </a:stretch>
                  </pic:blipFill>
                  <pic:spPr>
                    <a:xfrm>
                      <a:off x="0" y="0"/>
                      <a:ext cx="2914959" cy="2449397"/>
                    </a:xfrm>
                    <a:prstGeom prst="rect">
                      <a:avLst/>
                    </a:prstGeom>
                  </pic:spPr>
                </pic:pic>
              </a:graphicData>
            </a:graphic>
          </wp:inline>
        </w:drawing>
      </w:r>
    </w:p>
    <w:p w14:paraId="738E17FA" w14:textId="20D272FF" w:rsidR="000503CD" w:rsidRPr="00976FC4" w:rsidRDefault="000503CD" w:rsidP="000503CD">
      <w:pPr>
        <w:pStyle w:val="Legenda"/>
        <w:jc w:val="center"/>
        <w:rPr>
          <w:rFonts w:ascii="Arial" w:hAnsi="Arial" w:cs="Arial"/>
          <w:b w:val="0"/>
          <w:bCs w:val="0"/>
          <w:sz w:val="18"/>
          <w:szCs w:val="18"/>
          <w:lang w:val="en-US"/>
        </w:rPr>
      </w:pPr>
      <w:r w:rsidRPr="00976FC4">
        <w:rPr>
          <w:rFonts w:ascii="Arial" w:hAnsi="Arial" w:cs="Arial"/>
          <w:sz w:val="18"/>
          <w:szCs w:val="18"/>
          <w:lang w:val="en-US"/>
        </w:rPr>
        <w:t xml:space="preserve">Figure </w:t>
      </w:r>
      <w:r w:rsidRPr="00976FC4">
        <w:rPr>
          <w:rFonts w:ascii="Arial" w:hAnsi="Arial" w:cs="Arial"/>
          <w:sz w:val="18"/>
          <w:szCs w:val="18"/>
        </w:rPr>
        <w:fldChar w:fldCharType="begin"/>
      </w:r>
      <w:r w:rsidRPr="00976FC4">
        <w:rPr>
          <w:rFonts w:ascii="Arial" w:hAnsi="Arial" w:cs="Arial"/>
          <w:sz w:val="18"/>
          <w:szCs w:val="18"/>
          <w:lang w:val="en-US"/>
        </w:rPr>
        <w:instrText xml:space="preserve"> SEQ Figura \* ARABIC </w:instrText>
      </w:r>
      <w:r w:rsidRPr="00976FC4">
        <w:rPr>
          <w:rFonts w:ascii="Arial" w:hAnsi="Arial" w:cs="Arial"/>
          <w:sz w:val="18"/>
          <w:szCs w:val="18"/>
        </w:rPr>
        <w:fldChar w:fldCharType="separate"/>
      </w:r>
      <w:r w:rsidR="00F120FC">
        <w:rPr>
          <w:rFonts w:ascii="Arial" w:hAnsi="Arial" w:cs="Arial"/>
          <w:noProof/>
          <w:sz w:val="18"/>
          <w:szCs w:val="18"/>
          <w:lang w:val="en-US"/>
        </w:rPr>
        <w:t>6</w:t>
      </w:r>
      <w:r w:rsidRPr="00976FC4">
        <w:rPr>
          <w:rFonts w:ascii="Arial" w:hAnsi="Arial" w:cs="Arial"/>
          <w:noProof/>
          <w:sz w:val="18"/>
          <w:szCs w:val="18"/>
        </w:rPr>
        <w:fldChar w:fldCharType="end"/>
      </w:r>
      <w:r w:rsidRPr="00976FC4">
        <w:rPr>
          <w:rFonts w:ascii="Arial" w:hAnsi="Arial" w:cs="Arial"/>
          <w:sz w:val="18"/>
          <w:szCs w:val="18"/>
          <w:lang w:val="en-US"/>
        </w:rPr>
        <w:t>:</w:t>
      </w:r>
      <w:r w:rsidRPr="00976FC4">
        <w:rPr>
          <w:rFonts w:ascii="Arial" w:hAnsi="Arial" w:cs="Arial"/>
          <w:b w:val="0"/>
          <w:bCs w:val="0"/>
          <w:sz w:val="18"/>
          <w:szCs w:val="18"/>
          <w:lang w:val="en-US"/>
        </w:rPr>
        <w:t xml:space="preserve"> </w:t>
      </w:r>
      <w:r w:rsidR="00E92978" w:rsidRPr="00E92978">
        <w:rPr>
          <w:rFonts w:ascii="Arial" w:hAnsi="Arial" w:cs="Arial"/>
          <w:b w:val="0"/>
          <w:bCs w:val="0"/>
          <w:sz w:val="18"/>
          <w:szCs w:val="18"/>
          <w:lang w:val="en-US"/>
        </w:rPr>
        <w:t xml:space="preserve">Time slice </w:t>
      </w:r>
      <w:r w:rsidR="00E92978">
        <w:rPr>
          <w:rFonts w:ascii="Arial" w:hAnsi="Arial" w:cs="Arial"/>
          <w:b w:val="0"/>
          <w:bCs w:val="0"/>
          <w:sz w:val="18"/>
          <w:szCs w:val="18"/>
          <w:lang w:val="en-US"/>
        </w:rPr>
        <w:t>at</w:t>
      </w:r>
      <w:r w:rsidR="00E92978" w:rsidRPr="00E92978">
        <w:rPr>
          <w:rFonts w:ascii="Arial" w:hAnsi="Arial" w:cs="Arial"/>
          <w:b w:val="0"/>
          <w:bCs w:val="0"/>
          <w:sz w:val="18"/>
          <w:szCs w:val="18"/>
          <w:lang w:val="en-US"/>
        </w:rPr>
        <w:t xml:space="preserve"> </w:t>
      </w:r>
      <w:r w:rsidR="00E92978">
        <w:rPr>
          <w:rFonts w:ascii="Arial" w:hAnsi="Arial" w:cs="Arial"/>
          <w:b w:val="0"/>
          <w:bCs w:val="0"/>
          <w:sz w:val="18"/>
          <w:szCs w:val="18"/>
          <w:lang w:val="en-US"/>
        </w:rPr>
        <w:t>2080ms</w:t>
      </w:r>
      <w:r w:rsidRPr="00976FC4">
        <w:rPr>
          <w:rFonts w:ascii="Arial" w:hAnsi="Arial" w:cs="Arial"/>
          <w:b w:val="0"/>
          <w:bCs w:val="0"/>
          <w:sz w:val="18"/>
          <w:szCs w:val="18"/>
          <w:lang w:val="en-US"/>
        </w:rPr>
        <w:t xml:space="preserve"> of</w:t>
      </w:r>
      <w:r w:rsidR="00E92978">
        <w:rPr>
          <w:rFonts w:ascii="Arial" w:hAnsi="Arial" w:cs="Arial"/>
          <w:b w:val="0"/>
          <w:bCs w:val="0"/>
          <w:sz w:val="18"/>
          <w:szCs w:val="18"/>
          <w:lang w:val="en-US"/>
        </w:rPr>
        <w:t xml:space="preserve"> the</w:t>
      </w:r>
      <w:r w:rsidRPr="00976FC4">
        <w:rPr>
          <w:rFonts w:ascii="Arial" w:hAnsi="Arial" w:cs="Arial"/>
          <w:b w:val="0"/>
          <w:bCs w:val="0"/>
          <w:sz w:val="18"/>
          <w:szCs w:val="18"/>
          <w:lang w:val="en-US"/>
        </w:rPr>
        <w:t xml:space="preserve"> relative acoustic impedance.</w:t>
      </w:r>
    </w:p>
    <w:p w14:paraId="2D3AC284" w14:textId="6DF0A54E" w:rsidR="000503CD" w:rsidRDefault="000503CD" w:rsidP="000503CD">
      <w:pPr>
        <w:pStyle w:val="Corpodetexto"/>
        <w:keepNext/>
        <w:rPr>
          <w:lang w:val="en-US"/>
        </w:rPr>
      </w:pPr>
      <w:r w:rsidRPr="00D622A3">
        <w:rPr>
          <w:lang w:val="en-US"/>
        </w:rPr>
        <w:t xml:space="preserve">The analysis of </w:t>
      </w:r>
      <w:r w:rsidR="004073FE">
        <w:rPr>
          <w:lang w:val="en-US"/>
        </w:rPr>
        <w:t>AI</w:t>
      </w:r>
      <w:r w:rsidRPr="00D622A3">
        <w:rPr>
          <w:lang w:val="en-US"/>
        </w:rPr>
        <w:t xml:space="preserve"> in conjunction with the RMS attribute (Figure </w:t>
      </w:r>
      <w:r>
        <w:rPr>
          <w:lang w:val="en-US"/>
        </w:rPr>
        <w:t>7</w:t>
      </w:r>
      <w:r w:rsidRPr="00D622A3">
        <w:rPr>
          <w:lang w:val="en-US"/>
        </w:rPr>
        <w:t xml:space="preserve">) allows for a better interpretation. Here, we associate the best reservoirs with negative </w:t>
      </w:r>
      <w:r>
        <w:rPr>
          <w:lang w:val="en-US"/>
        </w:rPr>
        <w:t>AI</w:t>
      </w:r>
      <w:r w:rsidRPr="00D622A3">
        <w:rPr>
          <w:lang w:val="en-US"/>
        </w:rPr>
        <w:t xml:space="preserve"> values and high RMS values (yellow color). In the </w:t>
      </w:r>
      <w:proofErr w:type="spellStart"/>
      <w:r w:rsidRPr="00D622A3">
        <w:rPr>
          <w:lang w:val="en-US"/>
        </w:rPr>
        <w:t>Piracaba</w:t>
      </w:r>
      <w:proofErr w:type="spellEnd"/>
      <w:r w:rsidRPr="00D622A3">
        <w:rPr>
          <w:lang w:val="en-US"/>
        </w:rPr>
        <w:t xml:space="preserve"> Field, the co-rendering of relative </w:t>
      </w:r>
      <w:r w:rsidR="004073FE">
        <w:rPr>
          <w:lang w:val="en-US"/>
        </w:rPr>
        <w:t>AI</w:t>
      </w:r>
      <w:r w:rsidRPr="00D622A3">
        <w:rPr>
          <w:lang w:val="en-US"/>
        </w:rPr>
        <w:t xml:space="preserve"> with the RMS attribute highlights </w:t>
      </w:r>
      <w:r w:rsidRPr="00D622A3">
        <w:rPr>
          <w:lang w:val="en-US"/>
        </w:rPr>
        <w:t xml:space="preserve">lower </w:t>
      </w:r>
      <w:r w:rsidR="004073FE">
        <w:rPr>
          <w:lang w:val="en-US"/>
        </w:rPr>
        <w:t>AI</w:t>
      </w:r>
      <w:r w:rsidRPr="00D622A3">
        <w:rPr>
          <w:lang w:val="en-US"/>
        </w:rPr>
        <w:t xml:space="preserve"> values in the central region of the lobe. This can be explained by the energy of the system, where sandstones with coarser grain size and lower clay volume content are typically found in the central part of a turbidite system, while sediments of lower energy, such as finer and more clay-rich sands, are in the more distal part of the lobe</w:t>
      </w:r>
      <w:r>
        <w:rPr>
          <w:lang w:val="en-US"/>
        </w:rPr>
        <w:t xml:space="preserve">. </w:t>
      </w:r>
    </w:p>
    <w:p w14:paraId="4244FC9F" w14:textId="77777777" w:rsidR="000503CD" w:rsidRPr="00D622A3" w:rsidRDefault="000503CD" w:rsidP="000503CD">
      <w:pPr>
        <w:pStyle w:val="Corpodetexto"/>
        <w:keepNext/>
        <w:rPr>
          <w:lang w:val="en-US"/>
        </w:rPr>
      </w:pPr>
      <w:r w:rsidRPr="00213D6B">
        <w:rPr>
          <w:noProof/>
          <w:lang w:val="en-US"/>
        </w:rPr>
        <w:drawing>
          <wp:inline distT="0" distB="0" distL="0" distR="0" wp14:anchorId="2611A756" wp14:editId="0E4D5068">
            <wp:extent cx="2938145" cy="2249170"/>
            <wp:effectExtent l="0" t="0" r="0" b="0"/>
            <wp:docPr id="1197970075" name="Imagem 1"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70075" name="Imagem 1" descr="Uma imagem contendo Gráfico&#10;&#10;Descrição gerada automaticamente"/>
                    <pic:cNvPicPr/>
                  </pic:nvPicPr>
                  <pic:blipFill>
                    <a:blip r:embed="rId20"/>
                    <a:stretch>
                      <a:fillRect/>
                    </a:stretch>
                  </pic:blipFill>
                  <pic:spPr>
                    <a:xfrm>
                      <a:off x="0" y="0"/>
                      <a:ext cx="2938145" cy="2249170"/>
                    </a:xfrm>
                    <a:prstGeom prst="rect">
                      <a:avLst/>
                    </a:prstGeom>
                  </pic:spPr>
                </pic:pic>
              </a:graphicData>
            </a:graphic>
          </wp:inline>
        </w:drawing>
      </w:r>
    </w:p>
    <w:p w14:paraId="6B9C4237" w14:textId="57EFB9A9" w:rsidR="000503CD" w:rsidRPr="00976FC4" w:rsidRDefault="000503CD" w:rsidP="000503CD">
      <w:pPr>
        <w:pStyle w:val="Legenda"/>
        <w:jc w:val="center"/>
        <w:rPr>
          <w:rFonts w:ascii="Arial" w:hAnsi="Arial" w:cs="Arial"/>
          <w:sz w:val="18"/>
          <w:szCs w:val="18"/>
          <w:lang w:val="en-US"/>
        </w:rPr>
      </w:pPr>
      <w:r w:rsidRPr="00976FC4">
        <w:rPr>
          <w:rFonts w:ascii="Arial" w:hAnsi="Arial" w:cs="Arial"/>
          <w:sz w:val="18"/>
          <w:szCs w:val="18"/>
          <w:lang w:val="en-US"/>
        </w:rPr>
        <w:t xml:space="preserve">Figure </w:t>
      </w:r>
      <w:r w:rsidRPr="00976FC4">
        <w:rPr>
          <w:rFonts w:ascii="Arial" w:hAnsi="Arial" w:cs="Arial"/>
          <w:sz w:val="18"/>
          <w:szCs w:val="18"/>
        </w:rPr>
        <w:fldChar w:fldCharType="begin"/>
      </w:r>
      <w:r w:rsidRPr="00976FC4">
        <w:rPr>
          <w:rFonts w:ascii="Arial" w:hAnsi="Arial" w:cs="Arial"/>
          <w:sz w:val="18"/>
          <w:szCs w:val="18"/>
          <w:lang w:val="en-US"/>
        </w:rPr>
        <w:instrText xml:space="preserve"> SEQ Figura \* ARABIC </w:instrText>
      </w:r>
      <w:r w:rsidRPr="00976FC4">
        <w:rPr>
          <w:rFonts w:ascii="Arial" w:hAnsi="Arial" w:cs="Arial"/>
          <w:sz w:val="18"/>
          <w:szCs w:val="18"/>
        </w:rPr>
        <w:fldChar w:fldCharType="separate"/>
      </w:r>
      <w:r w:rsidR="00F120FC">
        <w:rPr>
          <w:rFonts w:ascii="Arial" w:hAnsi="Arial" w:cs="Arial"/>
          <w:noProof/>
          <w:sz w:val="18"/>
          <w:szCs w:val="18"/>
          <w:lang w:val="en-US"/>
        </w:rPr>
        <w:t>7</w:t>
      </w:r>
      <w:r w:rsidRPr="00976FC4">
        <w:rPr>
          <w:rFonts w:ascii="Arial" w:hAnsi="Arial" w:cs="Arial"/>
          <w:noProof/>
          <w:sz w:val="18"/>
          <w:szCs w:val="18"/>
        </w:rPr>
        <w:fldChar w:fldCharType="end"/>
      </w:r>
      <w:r w:rsidRPr="00976FC4">
        <w:rPr>
          <w:rFonts w:ascii="Arial" w:hAnsi="Arial" w:cs="Arial"/>
          <w:sz w:val="18"/>
          <w:szCs w:val="18"/>
          <w:lang w:val="en-US"/>
        </w:rPr>
        <w:t xml:space="preserve">: </w:t>
      </w:r>
      <w:r w:rsidRPr="00976FC4">
        <w:rPr>
          <w:rFonts w:ascii="Arial" w:hAnsi="Arial" w:cs="Arial"/>
          <w:b w:val="0"/>
          <w:bCs w:val="0"/>
          <w:sz w:val="18"/>
          <w:szCs w:val="18"/>
          <w:lang w:val="en-US"/>
        </w:rPr>
        <w:t>Co-rendering of the RMS attribute and the model of relative acoustic impedance.</w:t>
      </w:r>
    </w:p>
    <w:p w14:paraId="64A52BBE" w14:textId="77777777" w:rsidR="000503CD" w:rsidRPr="0098644E" w:rsidRDefault="000503CD" w:rsidP="000503CD">
      <w:pPr>
        <w:pStyle w:val="Corpodetexto"/>
        <w:rPr>
          <w:sz w:val="4"/>
          <w:szCs w:val="4"/>
          <w:lang w:val="en-US"/>
        </w:rPr>
      </w:pPr>
    </w:p>
    <w:p w14:paraId="2F8C0A4A" w14:textId="7E8FCA5E" w:rsidR="000503CD" w:rsidRDefault="000503CD" w:rsidP="000503CD">
      <w:pPr>
        <w:pStyle w:val="Corpodetexto"/>
        <w:keepNext/>
        <w:rPr>
          <w:lang w:val="en-US"/>
        </w:rPr>
      </w:pPr>
      <w:r w:rsidRPr="00D622A3">
        <w:rPr>
          <w:lang w:val="en-US"/>
        </w:rPr>
        <w:t xml:space="preserve">In Figure </w:t>
      </w:r>
      <w:r>
        <w:rPr>
          <w:lang w:val="en-US"/>
        </w:rPr>
        <w:t>8</w:t>
      </w:r>
      <w:r w:rsidRPr="00D622A3">
        <w:rPr>
          <w:lang w:val="en-US"/>
        </w:rPr>
        <w:t xml:space="preserve">, </w:t>
      </w:r>
      <w:r w:rsidR="0074609A">
        <w:rPr>
          <w:lang w:val="en-US"/>
        </w:rPr>
        <w:t>we</w:t>
      </w:r>
      <w:r w:rsidRPr="00D622A3">
        <w:rPr>
          <w:lang w:val="en-US"/>
        </w:rPr>
        <w:t xml:space="preserve"> observed that the relative acoustic impedance model highlights the central region of the turbidite lobe, indicating the best reservoir zones. According to the well evaluations, the thickness of the sandstone layers does not exceed 15 meters in any of the wells used in the project. The sparse-spike inversion technique improved the identification of these bodies, demonstrating its effectiveness for thin reservoirs. These zones are identified due to their low acoustic impedance.</w:t>
      </w:r>
    </w:p>
    <w:p w14:paraId="2A7392CC" w14:textId="77777777" w:rsidR="000503CD" w:rsidRPr="00D622A3" w:rsidRDefault="000503CD" w:rsidP="000503CD">
      <w:pPr>
        <w:pStyle w:val="Corpodetexto"/>
        <w:keepNext/>
        <w:rPr>
          <w:lang w:val="en-US"/>
        </w:rPr>
      </w:pPr>
      <w:r w:rsidRPr="00213D6B">
        <w:rPr>
          <w:noProof/>
          <w:lang w:val="en-US"/>
        </w:rPr>
        <w:drawing>
          <wp:inline distT="0" distB="0" distL="0" distR="0" wp14:anchorId="4712682B" wp14:editId="283310EA">
            <wp:extent cx="2938145" cy="1898650"/>
            <wp:effectExtent l="0" t="0" r="0" b="6350"/>
            <wp:docPr id="515012900" name="Imagem 1"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12900" name="Imagem 1" descr="Gráfico, Gráfico de linhas&#10;&#10;Descrição gerada automaticamente"/>
                    <pic:cNvPicPr/>
                  </pic:nvPicPr>
                  <pic:blipFill>
                    <a:blip r:embed="rId21"/>
                    <a:stretch>
                      <a:fillRect/>
                    </a:stretch>
                  </pic:blipFill>
                  <pic:spPr>
                    <a:xfrm>
                      <a:off x="0" y="0"/>
                      <a:ext cx="2938145" cy="1898650"/>
                    </a:xfrm>
                    <a:prstGeom prst="rect">
                      <a:avLst/>
                    </a:prstGeom>
                  </pic:spPr>
                </pic:pic>
              </a:graphicData>
            </a:graphic>
          </wp:inline>
        </w:drawing>
      </w:r>
    </w:p>
    <w:p w14:paraId="2ED374C0" w14:textId="0A2D34F3" w:rsidR="000503CD" w:rsidRPr="00976FC4" w:rsidRDefault="000503CD" w:rsidP="000503CD">
      <w:pPr>
        <w:pStyle w:val="Legenda"/>
        <w:jc w:val="center"/>
        <w:rPr>
          <w:rFonts w:ascii="Arial" w:hAnsi="Arial" w:cs="Arial"/>
          <w:sz w:val="18"/>
          <w:szCs w:val="18"/>
          <w:lang w:val="en-US"/>
        </w:rPr>
      </w:pPr>
      <w:r w:rsidRPr="00976FC4">
        <w:rPr>
          <w:rFonts w:ascii="Arial" w:hAnsi="Arial" w:cs="Arial"/>
          <w:sz w:val="18"/>
          <w:szCs w:val="18"/>
          <w:lang w:val="en-US"/>
        </w:rPr>
        <w:t xml:space="preserve">Figure </w:t>
      </w:r>
      <w:r w:rsidRPr="00976FC4">
        <w:rPr>
          <w:rFonts w:ascii="Arial" w:hAnsi="Arial" w:cs="Arial"/>
          <w:sz w:val="18"/>
          <w:szCs w:val="18"/>
        </w:rPr>
        <w:fldChar w:fldCharType="begin"/>
      </w:r>
      <w:r w:rsidRPr="00976FC4">
        <w:rPr>
          <w:rFonts w:ascii="Arial" w:hAnsi="Arial" w:cs="Arial"/>
          <w:sz w:val="18"/>
          <w:szCs w:val="18"/>
          <w:lang w:val="en-US"/>
        </w:rPr>
        <w:instrText xml:space="preserve"> SEQ Figura \* ARABIC </w:instrText>
      </w:r>
      <w:r w:rsidRPr="00976FC4">
        <w:rPr>
          <w:rFonts w:ascii="Arial" w:hAnsi="Arial" w:cs="Arial"/>
          <w:sz w:val="18"/>
          <w:szCs w:val="18"/>
        </w:rPr>
        <w:fldChar w:fldCharType="separate"/>
      </w:r>
      <w:r w:rsidR="00F120FC">
        <w:rPr>
          <w:rFonts w:ascii="Arial" w:hAnsi="Arial" w:cs="Arial"/>
          <w:noProof/>
          <w:sz w:val="18"/>
          <w:szCs w:val="18"/>
          <w:lang w:val="en-US"/>
        </w:rPr>
        <w:t>8</w:t>
      </w:r>
      <w:r w:rsidRPr="00976FC4">
        <w:rPr>
          <w:rFonts w:ascii="Arial" w:hAnsi="Arial" w:cs="Arial"/>
          <w:noProof/>
          <w:sz w:val="18"/>
          <w:szCs w:val="18"/>
        </w:rPr>
        <w:fldChar w:fldCharType="end"/>
      </w:r>
      <w:r w:rsidRPr="00976FC4">
        <w:rPr>
          <w:rFonts w:ascii="Arial" w:hAnsi="Arial" w:cs="Arial"/>
          <w:sz w:val="18"/>
          <w:szCs w:val="18"/>
          <w:lang w:val="en-US"/>
        </w:rPr>
        <w:t xml:space="preserve">: </w:t>
      </w:r>
      <w:r w:rsidRPr="00976FC4">
        <w:rPr>
          <w:rFonts w:ascii="Arial" w:hAnsi="Arial" w:cs="Arial"/>
          <w:b w:val="0"/>
          <w:bCs w:val="0"/>
          <w:sz w:val="18"/>
          <w:szCs w:val="18"/>
          <w:lang w:val="en-US"/>
        </w:rPr>
        <w:t>Co-rendering of the RMS attribute and the model of relative acoustic impedance.</w:t>
      </w:r>
    </w:p>
    <w:p w14:paraId="0132BF06" w14:textId="77777777" w:rsidR="000503CD" w:rsidRPr="0098644E" w:rsidRDefault="000503CD" w:rsidP="000503CD">
      <w:pPr>
        <w:pStyle w:val="Corpodetexto"/>
        <w:rPr>
          <w:sz w:val="10"/>
          <w:szCs w:val="10"/>
          <w:lang w:val="en-US"/>
        </w:rPr>
      </w:pPr>
    </w:p>
    <w:p w14:paraId="12D6F16B" w14:textId="77777777" w:rsidR="000503CD" w:rsidRPr="00081EFF" w:rsidRDefault="000503CD" w:rsidP="000503CD">
      <w:pPr>
        <w:pStyle w:val="Ttulo1"/>
        <w:spacing w:after="120"/>
      </w:pPr>
      <w:r w:rsidRPr="00081EFF">
        <w:t xml:space="preserve">Conclusions </w:t>
      </w:r>
    </w:p>
    <w:p w14:paraId="5AF85E1A" w14:textId="4805D5F5" w:rsidR="000503CD" w:rsidRPr="009E4BC8" w:rsidRDefault="000503CD" w:rsidP="000503CD">
      <w:pPr>
        <w:pStyle w:val="Corpodetexto"/>
        <w:rPr>
          <w:lang w:val="en-US"/>
        </w:rPr>
      </w:pPr>
      <w:r w:rsidRPr="009E4BC8">
        <w:rPr>
          <w:lang w:val="en-US"/>
        </w:rPr>
        <w:t xml:space="preserve">By integrating seismic attributes and well logs, </w:t>
      </w:r>
      <w:r w:rsidR="0074609A">
        <w:rPr>
          <w:lang w:val="en-US"/>
        </w:rPr>
        <w:t>we</w:t>
      </w:r>
      <w:r w:rsidRPr="009E4BC8">
        <w:rPr>
          <w:lang w:val="en-US"/>
        </w:rPr>
        <w:t xml:space="preserve"> detect</w:t>
      </w:r>
      <w:r w:rsidR="0074609A">
        <w:rPr>
          <w:lang w:val="en-US"/>
        </w:rPr>
        <w:t>ed</w:t>
      </w:r>
      <w:r w:rsidRPr="009E4BC8">
        <w:rPr>
          <w:lang w:val="en-US"/>
        </w:rPr>
        <w:t xml:space="preserve"> and characterize</w:t>
      </w:r>
      <w:r w:rsidR="0074609A">
        <w:rPr>
          <w:lang w:val="en-US"/>
        </w:rPr>
        <w:t>d</w:t>
      </w:r>
      <w:r w:rsidRPr="009E4BC8">
        <w:rPr>
          <w:lang w:val="en-US"/>
        </w:rPr>
        <w:t xml:space="preserve"> the reservoirs</w:t>
      </w:r>
      <w:r w:rsidR="0074609A">
        <w:rPr>
          <w:lang w:val="en-US"/>
        </w:rPr>
        <w:t xml:space="preserve"> of the </w:t>
      </w:r>
      <w:proofErr w:type="spellStart"/>
      <w:r w:rsidR="0074609A">
        <w:rPr>
          <w:lang w:val="en-US"/>
        </w:rPr>
        <w:t>Piracaba</w:t>
      </w:r>
      <w:proofErr w:type="spellEnd"/>
      <w:r w:rsidR="0074609A">
        <w:rPr>
          <w:lang w:val="en-US"/>
        </w:rPr>
        <w:t xml:space="preserve"> and </w:t>
      </w:r>
      <w:proofErr w:type="spellStart"/>
      <w:r w:rsidR="0074609A">
        <w:rPr>
          <w:lang w:val="en-US"/>
        </w:rPr>
        <w:t>Bauna</w:t>
      </w:r>
      <w:proofErr w:type="spellEnd"/>
      <w:r w:rsidR="0074609A">
        <w:rPr>
          <w:lang w:val="en-US"/>
        </w:rPr>
        <w:t xml:space="preserve"> fields</w:t>
      </w:r>
      <w:r w:rsidRPr="009E4BC8">
        <w:rPr>
          <w:lang w:val="en-US"/>
        </w:rPr>
        <w:t xml:space="preserve">. In the wells, one to three producing zones were identified, with thicknesses ranging from 12 to 45 meters. Comparing the two turbidite systems, the </w:t>
      </w:r>
      <w:proofErr w:type="spellStart"/>
      <w:r w:rsidRPr="009E4BC8">
        <w:rPr>
          <w:lang w:val="en-US"/>
        </w:rPr>
        <w:t>Baúna</w:t>
      </w:r>
      <w:proofErr w:type="spellEnd"/>
      <w:r w:rsidRPr="009E4BC8">
        <w:rPr>
          <w:lang w:val="en-US"/>
        </w:rPr>
        <w:t xml:space="preserve"> </w:t>
      </w:r>
      <w:r w:rsidRPr="009E4BC8">
        <w:rPr>
          <w:lang w:val="en-US"/>
        </w:rPr>
        <w:lastRenderedPageBreak/>
        <w:t>Field presents reservoirs with an average thickness of 25 meters, divided into two parts with intercalations of shale.</w:t>
      </w:r>
      <w:r>
        <w:rPr>
          <w:lang w:val="en-US"/>
        </w:rPr>
        <w:t xml:space="preserve"> </w:t>
      </w:r>
      <w:r w:rsidRPr="009E4BC8">
        <w:rPr>
          <w:lang w:val="en-US"/>
        </w:rPr>
        <w:t xml:space="preserve">On the other hand, the </w:t>
      </w:r>
      <w:proofErr w:type="spellStart"/>
      <w:r w:rsidRPr="009E4BC8">
        <w:rPr>
          <w:lang w:val="en-US"/>
        </w:rPr>
        <w:t>Piracaba</w:t>
      </w:r>
      <w:proofErr w:type="spellEnd"/>
      <w:r w:rsidRPr="009E4BC8">
        <w:rPr>
          <w:lang w:val="en-US"/>
        </w:rPr>
        <w:t xml:space="preserve"> Field has reservoirs with an average thickness of 14 meters, usually occurring within a single interval. Evaluating the reservoir properties, </w:t>
      </w:r>
      <w:r w:rsidR="004F0100">
        <w:rPr>
          <w:lang w:val="en-US"/>
        </w:rPr>
        <w:t>we</w:t>
      </w:r>
      <w:r w:rsidRPr="009E4BC8">
        <w:rPr>
          <w:lang w:val="en-US"/>
        </w:rPr>
        <w:t xml:space="preserve"> found that they are sandy reservoirs with low clay volume, high effective porosity, and high oil saturation.</w:t>
      </w:r>
    </w:p>
    <w:p w14:paraId="5B3DA8A7" w14:textId="19DFA7AE" w:rsidR="000503CD" w:rsidRPr="00A56FAE" w:rsidRDefault="000503CD" w:rsidP="000503CD">
      <w:pPr>
        <w:pStyle w:val="Corpodetexto"/>
        <w:rPr>
          <w:lang w:val="en-US"/>
        </w:rPr>
      </w:pPr>
      <w:r w:rsidRPr="00A56FAE">
        <w:rPr>
          <w:lang w:val="en-US"/>
        </w:rPr>
        <w:t xml:space="preserve">The RMS amplitude attribute highlighted the distribution of turbidite bodies and helped to better understand the shape of the reservoirs. With this attribute, </w:t>
      </w:r>
      <w:r w:rsidR="004F0100">
        <w:rPr>
          <w:lang w:val="en-US"/>
        </w:rPr>
        <w:t>we</w:t>
      </w:r>
      <w:r w:rsidRPr="00A56FAE">
        <w:rPr>
          <w:lang w:val="en-US"/>
        </w:rPr>
        <w:t xml:space="preserve"> visualize</w:t>
      </w:r>
      <w:r w:rsidR="004F0100">
        <w:rPr>
          <w:lang w:val="en-US"/>
        </w:rPr>
        <w:t>d</w:t>
      </w:r>
      <w:r w:rsidRPr="00A56FAE">
        <w:rPr>
          <w:lang w:val="en-US"/>
        </w:rPr>
        <w:t xml:space="preserve"> the feeder channel, the lobe, and its entire spread in the </w:t>
      </w:r>
      <w:proofErr w:type="spellStart"/>
      <w:r w:rsidRPr="00A56FAE">
        <w:rPr>
          <w:lang w:val="en-US"/>
        </w:rPr>
        <w:t>Piracaba</w:t>
      </w:r>
      <w:proofErr w:type="spellEnd"/>
      <w:r w:rsidRPr="00A56FAE">
        <w:rPr>
          <w:lang w:val="en-US"/>
        </w:rPr>
        <w:t xml:space="preserve"> Field, while in the </w:t>
      </w:r>
      <w:proofErr w:type="spellStart"/>
      <w:r w:rsidRPr="00A56FAE">
        <w:rPr>
          <w:lang w:val="en-US"/>
        </w:rPr>
        <w:t>Baúna</w:t>
      </w:r>
      <w:proofErr w:type="spellEnd"/>
      <w:r w:rsidRPr="00A56FAE">
        <w:rPr>
          <w:lang w:val="en-US"/>
        </w:rPr>
        <w:t xml:space="preserve"> Field, only the distal part of the lobe could be observed. The co-rendering of relative acoustic impedance with the RMS attribute allowed for a better interpretation of the turbidite bodies. The best reservoirs were associated with negative </w:t>
      </w:r>
      <w:r w:rsidR="004073FE">
        <w:rPr>
          <w:lang w:val="en-US"/>
        </w:rPr>
        <w:t>AI</w:t>
      </w:r>
      <w:r w:rsidRPr="00A56FAE">
        <w:rPr>
          <w:lang w:val="en-US"/>
        </w:rPr>
        <w:t xml:space="preserve"> values and high RMS values. In the </w:t>
      </w:r>
      <w:proofErr w:type="spellStart"/>
      <w:r w:rsidRPr="00A56FAE">
        <w:rPr>
          <w:lang w:val="en-US"/>
        </w:rPr>
        <w:t>Piracaba</w:t>
      </w:r>
      <w:proofErr w:type="spellEnd"/>
      <w:r w:rsidRPr="00A56FAE">
        <w:rPr>
          <w:lang w:val="en-US"/>
        </w:rPr>
        <w:t xml:space="preserve"> Field, this combination highlighted lower </w:t>
      </w:r>
      <w:r w:rsidR="004073FE">
        <w:rPr>
          <w:lang w:val="en-US"/>
        </w:rPr>
        <w:t>AI</w:t>
      </w:r>
      <w:r w:rsidRPr="00A56FAE">
        <w:rPr>
          <w:lang w:val="en-US"/>
        </w:rPr>
        <w:t xml:space="preserve"> values in the central region of the lobe. However, in the </w:t>
      </w:r>
      <w:proofErr w:type="spellStart"/>
      <w:r w:rsidRPr="00A56FAE">
        <w:rPr>
          <w:lang w:val="en-US"/>
        </w:rPr>
        <w:t>Baúna</w:t>
      </w:r>
      <w:proofErr w:type="spellEnd"/>
      <w:r w:rsidRPr="00A56FAE">
        <w:rPr>
          <w:lang w:val="en-US"/>
        </w:rPr>
        <w:t xml:space="preserve"> Field, this conclusion was not possible due to the limited coverage area of the seismic data.</w:t>
      </w:r>
    </w:p>
    <w:p w14:paraId="677BE8A8" w14:textId="77777777" w:rsidR="000503CD" w:rsidRPr="00A56FAE" w:rsidRDefault="000503CD" w:rsidP="000503CD">
      <w:pPr>
        <w:pStyle w:val="Corpodetexto"/>
        <w:rPr>
          <w:lang w:val="en-US"/>
        </w:rPr>
      </w:pPr>
    </w:p>
    <w:p w14:paraId="25E2F6C5" w14:textId="77777777" w:rsidR="00A9244F" w:rsidRDefault="00A9244F" w:rsidP="00A9244F">
      <w:pPr>
        <w:pStyle w:val="Ttulo1"/>
      </w:pPr>
      <w:r>
        <w:t>Acknowledgments</w:t>
      </w:r>
    </w:p>
    <w:p w14:paraId="68D8AABD" w14:textId="4F69F53F" w:rsidR="000503CD" w:rsidRDefault="00A9244F" w:rsidP="00076C6D">
      <w:pPr>
        <w:pStyle w:val="Corpodetexto"/>
        <w:rPr>
          <w:lang w:val="en-US"/>
        </w:rPr>
      </w:pPr>
      <w:r w:rsidRPr="00A9244F">
        <w:rPr>
          <w:lang w:val="en-US"/>
        </w:rPr>
        <w:t xml:space="preserve">The authors would like to thank the National Agency of Petroleum, Natural Gas and Biofuels (ANP) for providing well data and </w:t>
      </w:r>
      <w:proofErr w:type="spellStart"/>
      <w:r w:rsidRPr="00A9244F">
        <w:rPr>
          <w:lang w:val="en-US"/>
        </w:rPr>
        <w:t>AspenTech</w:t>
      </w:r>
      <w:proofErr w:type="spellEnd"/>
      <w:r w:rsidRPr="00A9244F">
        <w:rPr>
          <w:lang w:val="en-US"/>
        </w:rPr>
        <w:t xml:space="preserve"> and </w:t>
      </w:r>
      <w:proofErr w:type="spellStart"/>
      <w:r w:rsidRPr="00A9244F">
        <w:rPr>
          <w:lang w:val="en-US"/>
        </w:rPr>
        <w:t>Senergy</w:t>
      </w:r>
      <w:proofErr w:type="spellEnd"/>
      <w:r w:rsidRPr="00A9244F">
        <w:rPr>
          <w:lang w:val="en-US"/>
        </w:rPr>
        <w:t xml:space="preserve"> for the programs and academic licenses that allowed this work to be carried out.</w:t>
      </w:r>
    </w:p>
    <w:p w14:paraId="201C3293" w14:textId="77777777" w:rsidR="00A9244F" w:rsidRPr="00A9244F" w:rsidRDefault="00A9244F" w:rsidP="00076C6D">
      <w:pPr>
        <w:pStyle w:val="Corpodetexto"/>
        <w:rPr>
          <w:lang w:val="en-US"/>
        </w:rPr>
      </w:pPr>
    </w:p>
    <w:p w14:paraId="3D8CD30F" w14:textId="26B580AD" w:rsidR="00A9244F" w:rsidRPr="002B5C47" w:rsidRDefault="00A9244F" w:rsidP="00A9244F">
      <w:pPr>
        <w:pStyle w:val="Ttulo1"/>
        <w:spacing w:after="120"/>
      </w:pPr>
      <w:r w:rsidRPr="002B5C47">
        <w:t>References</w:t>
      </w:r>
    </w:p>
    <w:p w14:paraId="625F0F4C" w14:textId="3F0CA96A" w:rsidR="00477840" w:rsidRPr="00081EFF" w:rsidRDefault="00477840" w:rsidP="00076C6D">
      <w:pPr>
        <w:pStyle w:val="Corpodetexto"/>
      </w:pPr>
      <w:proofErr w:type="spellStart"/>
      <w:r w:rsidRPr="00477840">
        <w:rPr>
          <w:lang w:val="en-US"/>
        </w:rPr>
        <w:t>Debeye</w:t>
      </w:r>
      <w:proofErr w:type="spellEnd"/>
      <w:r w:rsidRPr="00477840">
        <w:rPr>
          <w:lang w:val="en-US"/>
        </w:rPr>
        <w:t xml:space="preserve">, H.W.J., Riel, P.V., 1990. LP-norm deconvolution. </w:t>
      </w:r>
      <w:proofErr w:type="spellStart"/>
      <w:r w:rsidRPr="00477840">
        <w:rPr>
          <w:lang w:val="en-US"/>
        </w:rPr>
        <w:t>Geophys</w:t>
      </w:r>
      <w:proofErr w:type="spellEnd"/>
      <w:r w:rsidRPr="00477840">
        <w:rPr>
          <w:lang w:val="en-US"/>
        </w:rPr>
        <w:t xml:space="preserve">. </w:t>
      </w:r>
      <w:r w:rsidRPr="00081EFF">
        <w:t>Prospect. 38: P381–P404.</w:t>
      </w:r>
    </w:p>
    <w:p w14:paraId="6DDA2421" w14:textId="523DD9C1" w:rsidR="00477840" w:rsidRPr="00477840" w:rsidRDefault="009962F9" w:rsidP="00076C6D">
      <w:pPr>
        <w:pStyle w:val="Corpodetexto"/>
        <w:rPr>
          <w:lang w:val="en-US"/>
        </w:rPr>
      </w:pPr>
      <w:r w:rsidRPr="00081EFF">
        <w:t xml:space="preserve">Ferreira, D.J.A., Lupinacci, W.M., 2018. </w:t>
      </w:r>
      <w:r w:rsidRPr="009962F9">
        <w:rPr>
          <w:lang w:val="en-US"/>
        </w:rPr>
        <w:t xml:space="preserve">An approach for three-dimensional quantitative carbonate reservoir characterization in the </w:t>
      </w:r>
      <w:proofErr w:type="spellStart"/>
      <w:r w:rsidRPr="009962F9">
        <w:rPr>
          <w:lang w:val="en-US"/>
        </w:rPr>
        <w:t>Pampo</w:t>
      </w:r>
      <w:proofErr w:type="spellEnd"/>
      <w:r w:rsidRPr="009962F9">
        <w:rPr>
          <w:lang w:val="en-US"/>
        </w:rPr>
        <w:t xml:space="preserve"> field, Campos Basin, offshore Brazil</w:t>
      </w:r>
      <w:r>
        <w:rPr>
          <w:lang w:val="en-US"/>
        </w:rPr>
        <w:t xml:space="preserve">. </w:t>
      </w:r>
      <w:r w:rsidRPr="009962F9">
        <w:rPr>
          <w:lang w:val="en-US"/>
        </w:rPr>
        <w:t>AAPG Bulletin, 102</w:t>
      </w:r>
      <w:r>
        <w:rPr>
          <w:lang w:val="en-US"/>
        </w:rPr>
        <w:t>(</w:t>
      </w:r>
      <w:r w:rsidRPr="009962F9">
        <w:rPr>
          <w:lang w:val="en-US"/>
        </w:rPr>
        <w:t>11</w:t>
      </w:r>
      <w:r>
        <w:rPr>
          <w:lang w:val="en-US"/>
        </w:rPr>
        <w:t>)</w:t>
      </w:r>
      <w:r w:rsidRPr="009962F9">
        <w:rPr>
          <w:lang w:val="en-US"/>
        </w:rPr>
        <w:t>, 2267-2282</w:t>
      </w:r>
      <w:r>
        <w:rPr>
          <w:lang w:val="en-US"/>
        </w:rPr>
        <w:t>.</w:t>
      </w:r>
      <w:r w:rsidR="00477840" w:rsidRPr="00477840">
        <w:rPr>
          <w:lang w:val="en-US"/>
        </w:rPr>
        <w:t>Oil Field Glossary, Available at: &lt;www.sbl.com&gt;, accessed June 2020</w:t>
      </w:r>
      <w:r w:rsidR="00477840">
        <w:rPr>
          <w:lang w:val="en-US"/>
        </w:rPr>
        <w:t>.</w:t>
      </w:r>
    </w:p>
    <w:p w14:paraId="25E6D98B" w14:textId="44ABF107" w:rsidR="000A4788" w:rsidRPr="00AD4C99" w:rsidRDefault="00AD4C99" w:rsidP="000A4788">
      <w:pPr>
        <w:pStyle w:val="Corpodetexto"/>
        <w:rPr>
          <w:lang w:val="en-US"/>
        </w:rPr>
      </w:pPr>
      <w:r w:rsidRPr="00081EFF">
        <w:t xml:space="preserve">Lupinacci, W.M., </w:t>
      </w:r>
      <w:r w:rsidR="000A4788" w:rsidRPr="00081EFF">
        <w:t xml:space="preserve">Gomes, L.M.S., Ferreira, D.J.A., 2020. </w:t>
      </w:r>
      <w:r w:rsidR="000A4788" w:rsidRPr="000A4788">
        <w:rPr>
          <w:lang w:val="en-US"/>
        </w:rPr>
        <w:t xml:space="preserve">An integrated approach for carbonate reservoir characterization: a case study from the </w:t>
      </w:r>
      <w:proofErr w:type="spellStart"/>
      <w:r w:rsidR="000A4788" w:rsidRPr="000A4788">
        <w:rPr>
          <w:lang w:val="en-US"/>
        </w:rPr>
        <w:t>Linguado</w:t>
      </w:r>
      <w:proofErr w:type="spellEnd"/>
      <w:r w:rsidR="000A4788" w:rsidRPr="000A4788">
        <w:rPr>
          <w:lang w:val="en-US"/>
        </w:rPr>
        <w:t xml:space="preserve"> Field, Campos Basin</w:t>
      </w:r>
      <w:r w:rsidR="000A4788">
        <w:rPr>
          <w:lang w:val="en-US"/>
        </w:rPr>
        <w:t>. B</w:t>
      </w:r>
      <w:r w:rsidR="000A4788" w:rsidRPr="00AD4C99">
        <w:rPr>
          <w:lang w:val="en-US"/>
        </w:rPr>
        <w:t xml:space="preserve">razilian </w:t>
      </w:r>
      <w:r w:rsidR="000A4788">
        <w:rPr>
          <w:lang w:val="en-US"/>
        </w:rPr>
        <w:t>J</w:t>
      </w:r>
      <w:r w:rsidR="000A4788" w:rsidRPr="00AD4C99">
        <w:rPr>
          <w:lang w:val="en-US"/>
        </w:rPr>
        <w:t xml:space="preserve">ournal of </w:t>
      </w:r>
      <w:r w:rsidR="000A4788">
        <w:rPr>
          <w:lang w:val="en-US"/>
        </w:rPr>
        <w:t>Geology</w:t>
      </w:r>
      <w:r w:rsidR="00F15F3F">
        <w:rPr>
          <w:lang w:val="en-US"/>
        </w:rPr>
        <w:t xml:space="preserve">: </w:t>
      </w:r>
      <w:r w:rsidR="00F15F3F" w:rsidRPr="00F15F3F">
        <w:rPr>
          <w:lang w:val="en-US"/>
        </w:rPr>
        <w:t>50 (4)</w:t>
      </w:r>
    </w:p>
    <w:p w14:paraId="09AEAC32" w14:textId="1D3AEDAE" w:rsidR="00AD4C99" w:rsidRDefault="00AD4C99" w:rsidP="00076C6D">
      <w:pPr>
        <w:pStyle w:val="Corpodetexto"/>
        <w:rPr>
          <w:lang w:val="en-US"/>
        </w:rPr>
      </w:pPr>
      <w:r w:rsidRPr="00AD4C99">
        <w:rPr>
          <w:lang w:val="en-US"/>
        </w:rPr>
        <w:t xml:space="preserve">Lupinacci, W.M., </w:t>
      </w:r>
      <w:proofErr w:type="spellStart"/>
      <w:r w:rsidRPr="00AD4C99">
        <w:rPr>
          <w:lang w:val="en-US"/>
        </w:rPr>
        <w:t>Schanzembach</w:t>
      </w:r>
      <w:proofErr w:type="spellEnd"/>
      <w:r w:rsidRPr="00AD4C99">
        <w:rPr>
          <w:lang w:val="en-US"/>
        </w:rPr>
        <w:t>, A., Frei</w:t>
      </w:r>
      <w:r w:rsidRPr="00081EFF">
        <w:rPr>
          <w:lang w:val="en-US"/>
        </w:rPr>
        <w:t xml:space="preserve">re, A.F.M., 2021. </w:t>
      </w:r>
      <w:r w:rsidRPr="00AD4C99">
        <w:rPr>
          <w:lang w:val="en-US"/>
        </w:rPr>
        <w:t xml:space="preserve">Modeling of Reservoir Properties Using Seismic Attributes and Evaluation of Well Logs: A Case Study in </w:t>
      </w:r>
      <w:proofErr w:type="spellStart"/>
      <w:r w:rsidRPr="00AD4C99">
        <w:rPr>
          <w:lang w:val="en-US"/>
        </w:rPr>
        <w:t>Bauna</w:t>
      </w:r>
      <w:proofErr w:type="spellEnd"/>
      <w:r w:rsidRPr="00AD4C99">
        <w:rPr>
          <w:lang w:val="en-US"/>
        </w:rPr>
        <w:t xml:space="preserve"> and </w:t>
      </w:r>
      <w:proofErr w:type="spellStart"/>
      <w:r w:rsidRPr="00AD4C99">
        <w:rPr>
          <w:lang w:val="en-US"/>
        </w:rPr>
        <w:t>Piracaba</w:t>
      </w:r>
      <w:proofErr w:type="spellEnd"/>
      <w:r w:rsidRPr="00AD4C99">
        <w:rPr>
          <w:lang w:val="en-US"/>
        </w:rPr>
        <w:t xml:space="preserve"> Oil Fields, Santos Basin, Brazil</w:t>
      </w:r>
      <w:r>
        <w:rPr>
          <w:lang w:val="en-US"/>
        </w:rPr>
        <w:t>. B</w:t>
      </w:r>
      <w:r w:rsidRPr="00AD4C99">
        <w:rPr>
          <w:lang w:val="en-US"/>
        </w:rPr>
        <w:t xml:space="preserve">razilian </w:t>
      </w:r>
      <w:r>
        <w:rPr>
          <w:lang w:val="en-US"/>
        </w:rPr>
        <w:t>J</w:t>
      </w:r>
      <w:r w:rsidRPr="00AD4C99">
        <w:rPr>
          <w:lang w:val="en-US"/>
        </w:rPr>
        <w:t xml:space="preserve">ournal of </w:t>
      </w:r>
      <w:r>
        <w:rPr>
          <w:lang w:val="en-US"/>
        </w:rPr>
        <w:t>G</w:t>
      </w:r>
      <w:r w:rsidRPr="00AD4C99">
        <w:rPr>
          <w:lang w:val="en-US"/>
        </w:rPr>
        <w:t>eophysics</w:t>
      </w:r>
      <w:r w:rsidR="00F15F3F">
        <w:rPr>
          <w:lang w:val="en-US"/>
        </w:rPr>
        <w:t>: 39(1)</w:t>
      </w:r>
    </w:p>
    <w:p w14:paraId="5F2709F6" w14:textId="13850518" w:rsidR="009962F9" w:rsidRDefault="009962F9" w:rsidP="00076C6D">
      <w:pPr>
        <w:pStyle w:val="Corpodetexto"/>
        <w:rPr>
          <w:lang w:val="en-US"/>
        </w:rPr>
      </w:pPr>
      <w:r w:rsidRPr="009962F9">
        <w:rPr>
          <w:lang w:val="en-US"/>
        </w:rPr>
        <w:t>R</w:t>
      </w:r>
      <w:r>
        <w:rPr>
          <w:lang w:val="en-US"/>
        </w:rPr>
        <w:t>ider</w:t>
      </w:r>
      <w:r w:rsidRPr="009962F9">
        <w:rPr>
          <w:lang w:val="en-US"/>
        </w:rPr>
        <w:t>, M. H. The geological interpretation of well logs. Hardcover, Gulf Publishing, 280 p.,1996.</w:t>
      </w:r>
    </w:p>
    <w:p w14:paraId="25072B8E" w14:textId="2C0C83A6" w:rsidR="006A7218" w:rsidRDefault="006A7218" w:rsidP="00076C6D">
      <w:pPr>
        <w:pStyle w:val="Corpodetexto"/>
        <w:rPr>
          <w:lang w:val="en-US"/>
        </w:rPr>
      </w:pPr>
      <w:r w:rsidRPr="006A7218">
        <w:rPr>
          <w:lang w:val="en-US"/>
        </w:rPr>
        <w:t>Schön, J.H. Physical properties of rocks: Fundamentals and principles of petrophysics. Handbook of Geophysical Exploration, Seismic Exploration. Pergamon, Vol. 8, 494 p., 2011</w:t>
      </w:r>
    </w:p>
    <w:p w14:paraId="674622F8" w14:textId="1F12FDD2" w:rsidR="00324050" w:rsidRPr="00324050" w:rsidRDefault="00324050" w:rsidP="00076C6D">
      <w:pPr>
        <w:pStyle w:val="Corpodetexto"/>
        <w:rPr>
          <w:lang w:val="en-US"/>
        </w:rPr>
      </w:pPr>
      <w:proofErr w:type="spellStart"/>
      <w:r>
        <w:rPr>
          <w:lang w:val="en-US"/>
        </w:rPr>
        <w:t>Simm</w:t>
      </w:r>
      <w:proofErr w:type="spellEnd"/>
      <w:r>
        <w:rPr>
          <w:lang w:val="en-US"/>
        </w:rPr>
        <w:t xml:space="preserve">, R, Bacon, M, 2014. </w:t>
      </w:r>
      <w:r w:rsidRPr="00324050">
        <w:rPr>
          <w:lang w:val="en-US"/>
        </w:rPr>
        <w:t>Seismic Amplitude: An Interpreter's Handbook</w:t>
      </w:r>
      <w:r>
        <w:rPr>
          <w:lang w:val="en-US"/>
        </w:rPr>
        <w:t xml:space="preserve">. </w:t>
      </w:r>
      <w:r w:rsidRPr="00324050">
        <w:rPr>
          <w:lang w:val="en-US"/>
        </w:rPr>
        <w:t>Cambridge University Press</w:t>
      </w:r>
      <w:r>
        <w:rPr>
          <w:lang w:val="en-US"/>
        </w:rPr>
        <w:t>, 276p.</w:t>
      </w:r>
    </w:p>
    <w:p w14:paraId="28485699" w14:textId="24620CD5" w:rsidR="00477840" w:rsidRDefault="00477840" w:rsidP="00076C6D">
      <w:pPr>
        <w:pStyle w:val="Corpodetexto"/>
        <w:rPr>
          <w:lang w:val="en-US"/>
        </w:rPr>
      </w:pPr>
      <w:r w:rsidRPr="00477840">
        <w:rPr>
          <w:lang w:val="en-US"/>
        </w:rPr>
        <w:t>T</w:t>
      </w:r>
      <w:r w:rsidR="006F41DB">
        <w:rPr>
          <w:lang w:val="en-US"/>
        </w:rPr>
        <w:t>aner</w:t>
      </w:r>
      <w:r w:rsidRPr="00477840">
        <w:rPr>
          <w:lang w:val="en-US"/>
        </w:rPr>
        <w:t>, M. T., F. Koehler, and R. E. Sheriff, 1979, Complex seismic trace analysis: Geophysics, 44, 1041– 1063.</w:t>
      </w:r>
    </w:p>
    <w:p w14:paraId="7A2EEA72" w14:textId="335B56E2" w:rsidR="00477840" w:rsidRDefault="00477840" w:rsidP="00076C6D">
      <w:pPr>
        <w:pStyle w:val="Corpodetexto"/>
        <w:rPr>
          <w:lang w:val="en-US"/>
        </w:rPr>
      </w:pPr>
      <w:proofErr w:type="spellStart"/>
      <w:r w:rsidRPr="00477840">
        <w:rPr>
          <w:lang w:val="en-US"/>
        </w:rPr>
        <w:t>Y</w:t>
      </w:r>
      <w:r w:rsidR="006F41DB">
        <w:rPr>
          <w:lang w:val="en-US"/>
        </w:rPr>
        <w:t>ushuang</w:t>
      </w:r>
      <w:proofErr w:type="spellEnd"/>
      <w:r w:rsidRPr="00477840">
        <w:rPr>
          <w:lang w:val="en-US"/>
        </w:rPr>
        <w:t xml:space="preserve">, Hu., </w:t>
      </w:r>
      <w:proofErr w:type="spellStart"/>
      <w:r w:rsidRPr="00477840">
        <w:rPr>
          <w:lang w:val="en-US"/>
        </w:rPr>
        <w:t>S</w:t>
      </w:r>
      <w:r w:rsidR="006F41DB">
        <w:rPr>
          <w:lang w:val="en-US"/>
        </w:rPr>
        <w:t>imiao</w:t>
      </w:r>
      <w:proofErr w:type="spellEnd"/>
      <w:r w:rsidRPr="00477840">
        <w:rPr>
          <w:lang w:val="en-US"/>
        </w:rPr>
        <w:t>, Zhu.</w:t>
      </w:r>
      <w:r w:rsidR="006F41DB">
        <w:rPr>
          <w:lang w:val="en-US"/>
        </w:rPr>
        <w:t>,</w:t>
      </w:r>
      <w:r w:rsidRPr="00477840">
        <w:rPr>
          <w:lang w:val="en-US"/>
        </w:rPr>
        <w:t xml:space="preserve"> 2013</w:t>
      </w:r>
      <w:r w:rsidR="006F41DB">
        <w:rPr>
          <w:lang w:val="en-US"/>
        </w:rPr>
        <w:t>.</w:t>
      </w:r>
      <w:r w:rsidRPr="00477840">
        <w:rPr>
          <w:lang w:val="en-US"/>
        </w:rPr>
        <w:t xml:space="preserve"> Predict channel sand body distribution characteristics of south eighth district based on RMS amplitude attributes &amp; frequency division. Adv Mater Res 734:</w:t>
      </w:r>
      <w:r w:rsidR="006F41DB">
        <w:rPr>
          <w:lang w:val="en-US"/>
        </w:rPr>
        <w:t xml:space="preserve"> </w:t>
      </w:r>
      <w:r w:rsidRPr="00477840">
        <w:rPr>
          <w:lang w:val="en-US"/>
        </w:rPr>
        <w:t>404–407.</w:t>
      </w:r>
    </w:p>
    <w:sectPr w:rsidR="00477840" w:rsidSect="000503CD">
      <w:type w:val="continuous"/>
      <w:pgSz w:w="12242" w:h="15842" w:code="1"/>
      <w:pgMar w:top="1418" w:right="1134" w:bottom="1418" w:left="1134" w:header="720" w:footer="84"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6D8CB" w14:textId="77777777" w:rsidR="0002639C" w:rsidRDefault="0002639C">
      <w:r>
        <w:separator/>
      </w:r>
    </w:p>
  </w:endnote>
  <w:endnote w:type="continuationSeparator" w:id="0">
    <w:p w14:paraId="30B31231" w14:textId="77777777" w:rsidR="0002639C" w:rsidRDefault="00026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D6140" w14:textId="77777777" w:rsidR="006C3900" w:rsidRDefault="006C3900" w:rsidP="006C3900">
    <w:pPr>
      <w:pStyle w:val="Rodap"/>
      <w:jc w:val="center"/>
      <w:rPr>
        <w:rFonts w:ascii="Arial" w:hAnsi="Arial" w:cs="Arial"/>
        <w:sz w:val="18"/>
        <w:lang w:val="en-US"/>
      </w:rPr>
    </w:pPr>
    <w:r>
      <w:rPr>
        <w:rFonts w:ascii="Arial" w:hAnsi="Arial" w:cs="Arial"/>
        <w:sz w:val="18"/>
        <w:lang w:val="en-US"/>
      </w:rPr>
      <w:t>Eighteenth International Congress of the Brazilian Geophysical Society</w:t>
    </w:r>
  </w:p>
  <w:p w14:paraId="646F1EB0" w14:textId="77777777" w:rsidR="00A454E8" w:rsidRPr="006C3900" w:rsidRDefault="00A454E8" w:rsidP="006F0AEF">
    <w:pPr>
      <w:pStyle w:val="Rodap"/>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1A81F" w14:textId="77777777" w:rsidR="006C3900" w:rsidRDefault="006C3900" w:rsidP="006C3900">
    <w:pPr>
      <w:pStyle w:val="Rodap"/>
      <w:jc w:val="center"/>
      <w:rPr>
        <w:rFonts w:ascii="Arial" w:hAnsi="Arial" w:cs="Arial"/>
        <w:sz w:val="18"/>
        <w:lang w:val="en-US"/>
      </w:rPr>
    </w:pPr>
    <w:r>
      <w:rPr>
        <w:rFonts w:ascii="Arial" w:hAnsi="Arial" w:cs="Arial"/>
        <w:sz w:val="18"/>
        <w:lang w:val="en-US"/>
      </w:rPr>
      <w:t>Eighteenth International Congress of the Brazilian Geophysical Society</w:t>
    </w:r>
  </w:p>
  <w:p w14:paraId="4BE29992" w14:textId="77777777" w:rsidR="00A454E8" w:rsidRPr="006C3900" w:rsidRDefault="00A454E8" w:rsidP="006F0AEF">
    <w:pPr>
      <w:pStyle w:val="Rodap"/>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329AF" w14:textId="77777777" w:rsidR="006C3900" w:rsidRDefault="006C3900" w:rsidP="006C3900">
    <w:pPr>
      <w:pStyle w:val="Rodap"/>
      <w:jc w:val="center"/>
      <w:rPr>
        <w:rFonts w:ascii="Arial" w:hAnsi="Arial" w:cs="Arial"/>
        <w:sz w:val="18"/>
        <w:lang w:val="en-US"/>
      </w:rPr>
    </w:pPr>
    <w:r>
      <w:rPr>
        <w:rFonts w:ascii="Arial" w:hAnsi="Arial" w:cs="Arial"/>
        <w:sz w:val="18"/>
        <w:lang w:val="en-US"/>
      </w:rPr>
      <w:t>Eighteenth International Congress of the Brazilian Geophysical Society</w:t>
    </w:r>
  </w:p>
  <w:p w14:paraId="04290D60" w14:textId="67A61A13" w:rsidR="00A454E8" w:rsidRPr="006C3900" w:rsidRDefault="00A454E8" w:rsidP="006C3900">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13EB2" w14:textId="77777777" w:rsidR="0002639C" w:rsidRDefault="0002639C">
      <w:r>
        <w:separator/>
      </w:r>
    </w:p>
  </w:footnote>
  <w:footnote w:type="continuationSeparator" w:id="0">
    <w:p w14:paraId="7C2EF159" w14:textId="77777777" w:rsidR="0002639C" w:rsidRDefault="000263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D2F86" w14:textId="77777777" w:rsidR="00A454E8" w:rsidRDefault="00A454E8">
    <w:pPr>
      <w:pStyle w:val="Cabealho"/>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46D88">
      <w:rPr>
        <w:rStyle w:val="Nmerodepgina"/>
        <w:noProof/>
      </w:rPr>
      <w:t>2</w:t>
    </w:r>
    <w:r>
      <w:rPr>
        <w:rStyle w:val="Nmerodepgina"/>
      </w:rPr>
      <w:fldChar w:fldCharType="end"/>
    </w:r>
  </w:p>
  <w:p w14:paraId="6D344288" w14:textId="6FFBB1FB" w:rsidR="00A454E8" w:rsidRPr="006C3900" w:rsidRDefault="006C3900" w:rsidP="006C3900">
    <w:pPr>
      <w:pStyle w:val="Cabealho"/>
      <w:tabs>
        <w:tab w:val="clear" w:pos="4419"/>
        <w:tab w:val="clear" w:pos="8838"/>
        <w:tab w:val="right" w:leader="underscore" w:pos="10036"/>
      </w:tabs>
      <w:ind w:right="360"/>
      <w:jc w:val="center"/>
      <w:rPr>
        <w:sz w:val="4"/>
        <w:szCs w:val="4"/>
        <w:lang w:val="en-US"/>
      </w:rPr>
    </w:pPr>
    <w:r w:rsidRPr="006C3900">
      <w:rPr>
        <w:rFonts w:ascii="Arial" w:hAnsi="Arial" w:cs="Arial"/>
        <w:smallCaps/>
        <w:sz w:val="18"/>
        <w:szCs w:val="18"/>
        <w:lang w:val="en-US"/>
      </w:rPr>
      <w:t>Reservoir</w:t>
    </w:r>
    <w:r w:rsidR="00160ED6">
      <w:rPr>
        <w:rFonts w:ascii="Arial" w:hAnsi="Arial" w:cs="Arial"/>
        <w:smallCaps/>
        <w:sz w:val="18"/>
        <w:szCs w:val="18"/>
        <w:lang w:val="en-US"/>
      </w:rPr>
      <w:t xml:space="preserve"> </w:t>
    </w:r>
    <w:r w:rsidR="00160ED6" w:rsidRPr="006C3900">
      <w:rPr>
        <w:rFonts w:ascii="Arial" w:hAnsi="Arial" w:cs="Arial"/>
        <w:smallCaps/>
        <w:sz w:val="18"/>
        <w:szCs w:val="18"/>
        <w:lang w:val="en-US"/>
      </w:rPr>
      <w:t>Characterization</w:t>
    </w:r>
    <w:r>
      <w:rPr>
        <w:rFonts w:ascii="Arial" w:hAnsi="Arial" w:cs="Arial"/>
        <w:smallCaps/>
        <w:sz w:val="18"/>
        <w:szCs w:val="18"/>
        <w:lang w:val="en-US"/>
      </w:rPr>
      <w:t>,</w:t>
    </w:r>
    <w:r w:rsidRPr="006C3900">
      <w:rPr>
        <w:rFonts w:ascii="Arial" w:hAnsi="Arial" w:cs="Arial"/>
        <w:smallCaps/>
        <w:sz w:val="18"/>
        <w:szCs w:val="18"/>
        <w:lang w:val="en-US"/>
      </w:rPr>
      <w:t xml:space="preserve"> Santos Basin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6E32C" w14:textId="77777777" w:rsidR="00A454E8" w:rsidRDefault="00A454E8">
    <w:pPr>
      <w:pStyle w:val="Cabealho"/>
      <w:framePr w:wrap="auto" w:vAnchor="text" w:hAnchor="margin" w:xAlign="right" w:y="1"/>
      <w:rPr>
        <w:rStyle w:val="Nmerodepgina"/>
        <w:rFonts w:ascii="Arial" w:hAnsi="Arial" w:cs="Arial"/>
        <w:sz w:val="18"/>
        <w:szCs w:val="18"/>
      </w:rPr>
    </w:pPr>
    <w:r>
      <w:rPr>
        <w:rStyle w:val="Nmerodepgina"/>
        <w:rFonts w:ascii="Arial" w:hAnsi="Arial" w:cs="Arial"/>
        <w:sz w:val="18"/>
        <w:szCs w:val="18"/>
      </w:rPr>
      <w:fldChar w:fldCharType="begin"/>
    </w:r>
    <w:r>
      <w:rPr>
        <w:rStyle w:val="Nmerodepgina"/>
        <w:rFonts w:ascii="Arial" w:hAnsi="Arial" w:cs="Arial"/>
        <w:sz w:val="18"/>
        <w:szCs w:val="18"/>
      </w:rPr>
      <w:instrText xml:space="preserve">PAGE  </w:instrText>
    </w:r>
    <w:r>
      <w:rPr>
        <w:rStyle w:val="Nmerodepgina"/>
        <w:rFonts w:ascii="Arial" w:hAnsi="Arial" w:cs="Arial"/>
        <w:sz w:val="18"/>
        <w:szCs w:val="18"/>
      </w:rPr>
      <w:fldChar w:fldCharType="separate"/>
    </w:r>
    <w:r w:rsidR="00B46D88">
      <w:rPr>
        <w:rStyle w:val="Nmerodepgina"/>
        <w:rFonts w:ascii="Arial" w:hAnsi="Arial" w:cs="Arial"/>
        <w:noProof/>
        <w:sz w:val="18"/>
        <w:szCs w:val="18"/>
      </w:rPr>
      <w:t>3</w:t>
    </w:r>
    <w:r>
      <w:rPr>
        <w:rStyle w:val="Nmerodepgina"/>
        <w:rFonts w:ascii="Arial" w:hAnsi="Arial" w:cs="Arial"/>
        <w:sz w:val="18"/>
        <w:szCs w:val="18"/>
      </w:rPr>
      <w:fldChar w:fldCharType="end"/>
    </w:r>
  </w:p>
  <w:p w14:paraId="69860585" w14:textId="4116865A" w:rsidR="00A454E8" w:rsidRDefault="0075579C">
    <w:pPr>
      <w:pStyle w:val="Cabealho"/>
      <w:tabs>
        <w:tab w:val="clear" w:pos="4419"/>
        <w:tab w:val="right" w:leader="underscore" w:pos="8838"/>
      </w:tabs>
      <w:ind w:right="357"/>
      <w:jc w:val="center"/>
      <w:rPr>
        <w:sz w:val="18"/>
        <w:szCs w:val="18"/>
      </w:rPr>
    </w:pPr>
    <w:r>
      <w:rPr>
        <w:rFonts w:ascii="Arial" w:hAnsi="Arial" w:cs="Arial"/>
        <w:smallCaps/>
        <w:sz w:val="18"/>
        <w:szCs w:val="18"/>
      </w:rPr>
      <w:t>Pinheiro et al.</w:t>
    </w:r>
  </w:p>
  <w:p w14:paraId="558EA6F1" w14:textId="77777777" w:rsidR="00A454E8" w:rsidRDefault="00A454E8">
    <w:pPr>
      <w:pStyle w:val="Cabealho"/>
      <w:tabs>
        <w:tab w:val="clear" w:pos="4419"/>
        <w:tab w:val="clear" w:pos="8838"/>
        <w:tab w:val="right" w:leader="underscore" w:pos="10036"/>
      </w:tabs>
      <w:ind w:right="360"/>
      <w:jc w:val="center"/>
      <w:rPr>
        <w:sz w:val="4"/>
        <w:szCs w:val="4"/>
      </w:rPr>
    </w:pPr>
    <w:r>
      <w:rPr>
        <w:sz w:val="4"/>
        <w:szCs w:val="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00162" w14:textId="29FFE4F7" w:rsidR="00A710EA" w:rsidRDefault="00A4303F" w:rsidP="00C12A51">
    <w:pPr>
      <w:pStyle w:val="Cabealho"/>
      <w:jc w:val="right"/>
      <w:rPr>
        <w:rFonts w:ascii="Arial" w:hAnsi="Arial" w:cs="Arial"/>
        <w:i/>
        <w:iCs/>
        <w:sz w:val="20"/>
        <w:szCs w:val="20"/>
      </w:rPr>
    </w:pPr>
    <w:r>
      <w:rPr>
        <w:rFonts w:ascii="Arial" w:hAnsi="Arial" w:cs="Arial"/>
        <w:i/>
        <w:iCs/>
        <w:noProof/>
        <w:sz w:val="20"/>
        <w:szCs w:val="20"/>
      </w:rPr>
      <w:t xml:space="preserve">              </w:t>
    </w:r>
    <w:r w:rsidR="00A83E68">
      <w:rPr>
        <w:rFonts w:ascii="Arial" w:hAnsi="Arial" w:cs="Arial"/>
        <w:i/>
        <w:iCs/>
        <w:noProof/>
        <w:sz w:val="20"/>
        <w:szCs w:val="20"/>
      </w:rPr>
      <w:t xml:space="preserve">                                                                        </w:t>
    </w:r>
    <w:r w:rsidR="002A2726" w:rsidRPr="00D44000">
      <w:rPr>
        <w:rFonts w:ascii="Arial" w:hAnsi="Arial" w:cs="Arial"/>
        <w:i/>
        <w:iCs/>
        <w:noProof/>
        <w:sz w:val="20"/>
        <w:szCs w:val="20"/>
      </w:rPr>
      <w:drawing>
        <wp:inline distT="0" distB="0" distL="0" distR="0" wp14:anchorId="2D5B3B3B" wp14:editId="39AC81E4">
          <wp:extent cx="1203960" cy="762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96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D5753"/>
    <w:multiLevelType w:val="hybridMultilevel"/>
    <w:tmpl w:val="813E8E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21818A8"/>
    <w:multiLevelType w:val="hybridMultilevel"/>
    <w:tmpl w:val="919CA97E"/>
    <w:lvl w:ilvl="0" w:tplc="E34C5B7E">
      <w:start w:val="1"/>
      <w:numFmt w:val="decimal"/>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34616621">
    <w:abstractNumId w:val="1"/>
  </w:num>
  <w:num w:numId="2" w16cid:durableId="1813912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604"/>
  <w:hyphenationZone w:val="425"/>
  <w:doNotHyphenateCaps/>
  <w:evenAndOddHeaders/>
  <w:drawingGridHorizontalSpacing w:val="5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071"/>
    <w:rsid w:val="000011E9"/>
    <w:rsid w:val="0000424B"/>
    <w:rsid w:val="00004572"/>
    <w:rsid w:val="00004B7D"/>
    <w:rsid w:val="00007BD4"/>
    <w:rsid w:val="00010177"/>
    <w:rsid w:val="00015596"/>
    <w:rsid w:val="00016165"/>
    <w:rsid w:val="000213FD"/>
    <w:rsid w:val="000232E3"/>
    <w:rsid w:val="0002639C"/>
    <w:rsid w:val="00032C58"/>
    <w:rsid w:val="00032C7F"/>
    <w:rsid w:val="0003518D"/>
    <w:rsid w:val="000412E9"/>
    <w:rsid w:val="00043F9D"/>
    <w:rsid w:val="000503CD"/>
    <w:rsid w:val="0006516F"/>
    <w:rsid w:val="00072EE5"/>
    <w:rsid w:val="00076C6D"/>
    <w:rsid w:val="00081506"/>
    <w:rsid w:val="00081EFF"/>
    <w:rsid w:val="00083A11"/>
    <w:rsid w:val="0009134C"/>
    <w:rsid w:val="000916A0"/>
    <w:rsid w:val="000934D2"/>
    <w:rsid w:val="000A4788"/>
    <w:rsid w:val="000A4F44"/>
    <w:rsid w:val="000B30E0"/>
    <w:rsid w:val="000B7AC9"/>
    <w:rsid w:val="000C4CEF"/>
    <w:rsid w:val="000C6F3A"/>
    <w:rsid w:val="000C74B0"/>
    <w:rsid w:val="000D770B"/>
    <w:rsid w:val="000E2279"/>
    <w:rsid w:val="000E4E2F"/>
    <w:rsid w:val="000E7928"/>
    <w:rsid w:val="00100D30"/>
    <w:rsid w:val="0010477D"/>
    <w:rsid w:val="00107BCE"/>
    <w:rsid w:val="001127C6"/>
    <w:rsid w:val="001162BB"/>
    <w:rsid w:val="00121C28"/>
    <w:rsid w:val="00124C8C"/>
    <w:rsid w:val="0013265D"/>
    <w:rsid w:val="00145730"/>
    <w:rsid w:val="00147BBB"/>
    <w:rsid w:val="00147FBB"/>
    <w:rsid w:val="001503E3"/>
    <w:rsid w:val="00152F2A"/>
    <w:rsid w:val="00160ED6"/>
    <w:rsid w:val="00162BA7"/>
    <w:rsid w:val="00170ACF"/>
    <w:rsid w:val="00176AA8"/>
    <w:rsid w:val="0018113F"/>
    <w:rsid w:val="00185443"/>
    <w:rsid w:val="001A2FF7"/>
    <w:rsid w:val="001B2886"/>
    <w:rsid w:val="001B2C55"/>
    <w:rsid w:val="001B7C4C"/>
    <w:rsid w:val="001C23D9"/>
    <w:rsid w:val="001C48F9"/>
    <w:rsid w:val="001C61FB"/>
    <w:rsid w:val="001C7B10"/>
    <w:rsid w:val="001E5B51"/>
    <w:rsid w:val="001F6BB3"/>
    <w:rsid w:val="00200601"/>
    <w:rsid w:val="0021045E"/>
    <w:rsid w:val="00213D6B"/>
    <w:rsid w:val="00217156"/>
    <w:rsid w:val="00225892"/>
    <w:rsid w:val="00226FB7"/>
    <w:rsid w:val="00240BEA"/>
    <w:rsid w:val="00240C2A"/>
    <w:rsid w:val="00241400"/>
    <w:rsid w:val="00241764"/>
    <w:rsid w:val="00241ADD"/>
    <w:rsid w:val="002515F7"/>
    <w:rsid w:val="00254E9C"/>
    <w:rsid w:val="00260B4F"/>
    <w:rsid w:val="00260BA6"/>
    <w:rsid w:val="002721AA"/>
    <w:rsid w:val="002743D7"/>
    <w:rsid w:val="0027578C"/>
    <w:rsid w:val="00280A5B"/>
    <w:rsid w:val="002936A8"/>
    <w:rsid w:val="00293D1B"/>
    <w:rsid w:val="002A2726"/>
    <w:rsid w:val="002A39B4"/>
    <w:rsid w:val="002A480A"/>
    <w:rsid w:val="002B21FB"/>
    <w:rsid w:val="002B5C47"/>
    <w:rsid w:val="002B7DC6"/>
    <w:rsid w:val="002B7E1C"/>
    <w:rsid w:val="002C215D"/>
    <w:rsid w:val="002C7EBA"/>
    <w:rsid w:val="002D12AB"/>
    <w:rsid w:val="002D2B14"/>
    <w:rsid w:val="002D73E7"/>
    <w:rsid w:val="002E1EAE"/>
    <w:rsid w:val="002E36D1"/>
    <w:rsid w:val="002E7BCF"/>
    <w:rsid w:val="002F252A"/>
    <w:rsid w:val="00304B6C"/>
    <w:rsid w:val="003146AB"/>
    <w:rsid w:val="00315F40"/>
    <w:rsid w:val="0032397D"/>
    <w:rsid w:val="00324050"/>
    <w:rsid w:val="00326920"/>
    <w:rsid w:val="0033092F"/>
    <w:rsid w:val="00334E0E"/>
    <w:rsid w:val="00340945"/>
    <w:rsid w:val="0034473B"/>
    <w:rsid w:val="00347FDF"/>
    <w:rsid w:val="00352403"/>
    <w:rsid w:val="00361075"/>
    <w:rsid w:val="00370B52"/>
    <w:rsid w:val="00374D0C"/>
    <w:rsid w:val="00382647"/>
    <w:rsid w:val="003926EB"/>
    <w:rsid w:val="0039680C"/>
    <w:rsid w:val="003973F2"/>
    <w:rsid w:val="003A17A2"/>
    <w:rsid w:val="003A3004"/>
    <w:rsid w:val="003A5D9E"/>
    <w:rsid w:val="003C0DA4"/>
    <w:rsid w:val="003D04E5"/>
    <w:rsid w:val="003D5045"/>
    <w:rsid w:val="003E35BF"/>
    <w:rsid w:val="003E4BCF"/>
    <w:rsid w:val="003E6419"/>
    <w:rsid w:val="003F40CD"/>
    <w:rsid w:val="003F7AA5"/>
    <w:rsid w:val="004006D9"/>
    <w:rsid w:val="00403757"/>
    <w:rsid w:val="004073FE"/>
    <w:rsid w:val="00411857"/>
    <w:rsid w:val="00413A17"/>
    <w:rsid w:val="00417159"/>
    <w:rsid w:val="0042122B"/>
    <w:rsid w:val="00426AAE"/>
    <w:rsid w:val="00430C44"/>
    <w:rsid w:val="004314F4"/>
    <w:rsid w:val="004318BC"/>
    <w:rsid w:val="00433668"/>
    <w:rsid w:val="004432AE"/>
    <w:rsid w:val="004563F7"/>
    <w:rsid w:val="00466789"/>
    <w:rsid w:val="00471C60"/>
    <w:rsid w:val="00476596"/>
    <w:rsid w:val="00476D3A"/>
    <w:rsid w:val="00477840"/>
    <w:rsid w:val="00481EF8"/>
    <w:rsid w:val="00492012"/>
    <w:rsid w:val="004A1A8D"/>
    <w:rsid w:val="004B1516"/>
    <w:rsid w:val="004B6EDE"/>
    <w:rsid w:val="004C28C1"/>
    <w:rsid w:val="004D0E0B"/>
    <w:rsid w:val="004F0100"/>
    <w:rsid w:val="004F32A2"/>
    <w:rsid w:val="004F50A4"/>
    <w:rsid w:val="00500151"/>
    <w:rsid w:val="005014A6"/>
    <w:rsid w:val="00502199"/>
    <w:rsid w:val="00503D87"/>
    <w:rsid w:val="005052C2"/>
    <w:rsid w:val="00505F51"/>
    <w:rsid w:val="005123E5"/>
    <w:rsid w:val="00512DAE"/>
    <w:rsid w:val="005218C4"/>
    <w:rsid w:val="0052338B"/>
    <w:rsid w:val="00533556"/>
    <w:rsid w:val="005371F3"/>
    <w:rsid w:val="0054273F"/>
    <w:rsid w:val="00546CE4"/>
    <w:rsid w:val="00547299"/>
    <w:rsid w:val="00554FD5"/>
    <w:rsid w:val="00567DC3"/>
    <w:rsid w:val="00571925"/>
    <w:rsid w:val="005746C6"/>
    <w:rsid w:val="00577071"/>
    <w:rsid w:val="00577B18"/>
    <w:rsid w:val="00594A74"/>
    <w:rsid w:val="00594E4A"/>
    <w:rsid w:val="005B2C4A"/>
    <w:rsid w:val="005B5FA4"/>
    <w:rsid w:val="005C27D8"/>
    <w:rsid w:val="005C29B7"/>
    <w:rsid w:val="005D1453"/>
    <w:rsid w:val="005D5739"/>
    <w:rsid w:val="005E2197"/>
    <w:rsid w:val="005E2B3E"/>
    <w:rsid w:val="005E346A"/>
    <w:rsid w:val="005E7C3F"/>
    <w:rsid w:val="005F280A"/>
    <w:rsid w:val="005F3729"/>
    <w:rsid w:val="00601E33"/>
    <w:rsid w:val="0060641B"/>
    <w:rsid w:val="00613FAC"/>
    <w:rsid w:val="00614238"/>
    <w:rsid w:val="0062168A"/>
    <w:rsid w:val="00631F4D"/>
    <w:rsid w:val="00634AD4"/>
    <w:rsid w:val="0064272D"/>
    <w:rsid w:val="00642E37"/>
    <w:rsid w:val="006470D5"/>
    <w:rsid w:val="00651459"/>
    <w:rsid w:val="00655464"/>
    <w:rsid w:val="00655E13"/>
    <w:rsid w:val="00664AFE"/>
    <w:rsid w:val="00680980"/>
    <w:rsid w:val="00680F52"/>
    <w:rsid w:val="0068694C"/>
    <w:rsid w:val="00686D2B"/>
    <w:rsid w:val="006903BC"/>
    <w:rsid w:val="00690D6F"/>
    <w:rsid w:val="0069119C"/>
    <w:rsid w:val="006935DE"/>
    <w:rsid w:val="006946C9"/>
    <w:rsid w:val="006952A6"/>
    <w:rsid w:val="00696CF6"/>
    <w:rsid w:val="00696F00"/>
    <w:rsid w:val="00697747"/>
    <w:rsid w:val="006A7218"/>
    <w:rsid w:val="006B1B76"/>
    <w:rsid w:val="006B6A29"/>
    <w:rsid w:val="006B74C0"/>
    <w:rsid w:val="006C02C3"/>
    <w:rsid w:val="006C28BE"/>
    <w:rsid w:val="006C3900"/>
    <w:rsid w:val="006C3C2B"/>
    <w:rsid w:val="006C3DE8"/>
    <w:rsid w:val="006C44C9"/>
    <w:rsid w:val="006D47E1"/>
    <w:rsid w:val="006F0AEF"/>
    <w:rsid w:val="006F41DB"/>
    <w:rsid w:val="006F62A1"/>
    <w:rsid w:val="0070609F"/>
    <w:rsid w:val="00707A82"/>
    <w:rsid w:val="00711D81"/>
    <w:rsid w:val="00715F91"/>
    <w:rsid w:val="00720BD6"/>
    <w:rsid w:val="00741A76"/>
    <w:rsid w:val="0074609A"/>
    <w:rsid w:val="0075579C"/>
    <w:rsid w:val="00765BC4"/>
    <w:rsid w:val="007663FF"/>
    <w:rsid w:val="007707F0"/>
    <w:rsid w:val="007803E2"/>
    <w:rsid w:val="00781948"/>
    <w:rsid w:val="00783AC2"/>
    <w:rsid w:val="0078473A"/>
    <w:rsid w:val="007900C1"/>
    <w:rsid w:val="0079053B"/>
    <w:rsid w:val="007930F2"/>
    <w:rsid w:val="007950B1"/>
    <w:rsid w:val="00795924"/>
    <w:rsid w:val="007A0325"/>
    <w:rsid w:val="007A1ED9"/>
    <w:rsid w:val="007A424B"/>
    <w:rsid w:val="007B0A72"/>
    <w:rsid w:val="007B15BC"/>
    <w:rsid w:val="007B7917"/>
    <w:rsid w:val="007B7ED3"/>
    <w:rsid w:val="007C2084"/>
    <w:rsid w:val="0080150E"/>
    <w:rsid w:val="0081446D"/>
    <w:rsid w:val="00814620"/>
    <w:rsid w:val="0081736F"/>
    <w:rsid w:val="00820477"/>
    <w:rsid w:val="0082488E"/>
    <w:rsid w:val="008312B4"/>
    <w:rsid w:val="008367F2"/>
    <w:rsid w:val="0084087D"/>
    <w:rsid w:val="00844AF3"/>
    <w:rsid w:val="008577F3"/>
    <w:rsid w:val="0086384C"/>
    <w:rsid w:val="008755DB"/>
    <w:rsid w:val="00877DDF"/>
    <w:rsid w:val="00883D03"/>
    <w:rsid w:val="0089518A"/>
    <w:rsid w:val="008A0BE4"/>
    <w:rsid w:val="008A1322"/>
    <w:rsid w:val="008A1B99"/>
    <w:rsid w:val="008C095F"/>
    <w:rsid w:val="008C30A3"/>
    <w:rsid w:val="008C5B7B"/>
    <w:rsid w:val="008D4646"/>
    <w:rsid w:val="008D7114"/>
    <w:rsid w:val="008E5503"/>
    <w:rsid w:val="008F2492"/>
    <w:rsid w:val="008F26E2"/>
    <w:rsid w:val="008F5B34"/>
    <w:rsid w:val="00900838"/>
    <w:rsid w:val="00904BDE"/>
    <w:rsid w:val="0090711D"/>
    <w:rsid w:val="00915E7F"/>
    <w:rsid w:val="00920AC8"/>
    <w:rsid w:val="009244E3"/>
    <w:rsid w:val="00930FDA"/>
    <w:rsid w:val="009311D9"/>
    <w:rsid w:val="009312E2"/>
    <w:rsid w:val="009603E7"/>
    <w:rsid w:val="009700EA"/>
    <w:rsid w:val="00973790"/>
    <w:rsid w:val="009755AF"/>
    <w:rsid w:val="00976FC4"/>
    <w:rsid w:val="00980382"/>
    <w:rsid w:val="00982398"/>
    <w:rsid w:val="0098644E"/>
    <w:rsid w:val="00987F29"/>
    <w:rsid w:val="009962F9"/>
    <w:rsid w:val="00996762"/>
    <w:rsid w:val="009A25CF"/>
    <w:rsid w:val="009A298D"/>
    <w:rsid w:val="009A310B"/>
    <w:rsid w:val="009A4F6A"/>
    <w:rsid w:val="009B60D4"/>
    <w:rsid w:val="009B6F59"/>
    <w:rsid w:val="009B76E5"/>
    <w:rsid w:val="009C14BA"/>
    <w:rsid w:val="009C2762"/>
    <w:rsid w:val="009C2C60"/>
    <w:rsid w:val="009C4D55"/>
    <w:rsid w:val="009D073C"/>
    <w:rsid w:val="009D57E0"/>
    <w:rsid w:val="009E4BC8"/>
    <w:rsid w:val="009E641C"/>
    <w:rsid w:val="009E7B3C"/>
    <w:rsid w:val="009F29B5"/>
    <w:rsid w:val="009F68DA"/>
    <w:rsid w:val="009F7F72"/>
    <w:rsid w:val="00A005DF"/>
    <w:rsid w:val="00A01C3C"/>
    <w:rsid w:val="00A12B32"/>
    <w:rsid w:val="00A146E9"/>
    <w:rsid w:val="00A1556A"/>
    <w:rsid w:val="00A15DDD"/>
    <w:rsid w:val="00A23BDC"/>
    <w:rsid w:val="00A23EC2"/>
    <w:rsid w:val="00A27138"/>
    <w:rsid w:val="00A27410"/>
    <w:rsid w:val="00A33132"/>
    <w:rsid w:val="00A34B6C"/>
    <w:rsid w:val="00A42A26"/>
    <w:rsid w:val="00A4303F"/>
    <w:rsid w:val="00A454E8"/>
    <w:rsid w:val="00A51F9B"/>
    <w:rsid w:val="00A531A1"/>
    <w:rsid w:val="00A53798"/>
    <w:rsid w:val="00A56FAE"/>
    <w:rsid w:val="00A648E9"/>
    <w:rsid w:val="00A700E9"/>
    <w:rsid w:val="00A70537"/>
    <w:rsid w:val="00A70617"/>
    <w:rsid w:val="00A710EA"/>
    <w:rsid w:val="00A75C94"/>
    <w:rsid w:val="00A83E68"/>
    <w:rsid w:val="00A85792"/>
    <w:rsid w:val="00A9244F"/>
    <w:rsid w:val="00A95888"/>
    <w:rsid w:val="00A95890"/>
    <w:rsid w:val="00AA2400"/>
    <w:rsid w:val="00AA2D57"/>
    <w:rsid w:val="00AA55F4"/>
    <w:rsid w:val="00AB6E32"/>
    <w:rsid w:val="00AC268A"/>
    <w:rsid w:val="00AD4C99"/>
    <w:rsid w:val="00AD6209"/>
    <w:rsid w:val="00AD6F78"/>
    <w:rsid w:val="00AD7CD1"/>
    <w:rsid w:val="00AE06B1"/>
    <w:rsid w:val="00AE1139"/>
    <w:rsid w:val="00AE58F9"/>
    <w:rsid w:val="00AE66DB"/>
    <w:rsid w:val="00AF351C"/>
    <w:rsid w:val="00B033BF"/>
    <w:rsid w:val="00B059DF"/>
    <w:rsid w:val="00B115EA"/>
    <w:rsid w:val="00B415B4"/>
    <w:rsid w:val="00B415ED"/>
    <w:rsid w:val="00B46D88"/>
    <w:rsid w:val="00B47529"/>
    <w:rsid w:val="00B47CC1"/>
    <w:rsid w:val="00B53662"/>
    <w:rsid w:val="00B729F9"/>
    <w:rsid w:val="00B76E27"/>
    <w:rsid w:val="00B85F7C"/>
    <w:rsid w:val="00B873F7"/>
    <w:rsid w:val="00B913EE"/>
    <w:rsid w:val="00B97501"/>
    <w:rsid w:val="00BA02E0"/>
    <w:rsid w:val="00BB215C"/>
    <w:rsid w:val="00BB2659"/>
    <w:rsid w:val="00BB55F8"/>
    <w:rsid w:val="00BC5722"/>
    <w:rsid w:val="00BC5CE9"/>
    <w:rsid w:val="00BD41D1"/>
    <w:rsid w:val="00BD6EBC"/>
    <w:rsid w:val="00BD7FC9"/>
    <w:rsid w:val="00BE099A"/>
    <w:rsid w:val="00BE5D50"/>
    <w:rsid w:val="00BF798F"/>
    <w:rsid w:val="00C010F6"/>
    <w:rsid w:val="00C02F7F"/>
    <w:rsid w:val="00C031E9"/>
    <w:rsid w:val="00C03C29"/>
    <w:rsid w:val="00C11775"/>
    <w:rsid w:val="00C12A51"/>
    <w:rsid w:val="00C131B2"/>
    <w:rsid w:val="00C14F95"/>
    <w:rsid w:val="00C15E21"/>
    <w:rsid w:val="00C165D1"/>
    <w:rsid w:val="00C16FA4"/>
    <w:rsid w:val="00C239BD"/>
    <w:rsid w:val="00C23FF5"/>
    <w:rsid w:val="00C25386"/>
    <w:rsid w:val="00C2739A"/>
    <w:rsid w:val="00C317E3"/>
    <w:rsid w:val="00C42938"/>
    <w:rsid w:val="00C4386E"/>
    <w:rsid w:val="00C617A6"/>
    <w:rsid w:val="00C66A7A"/>
    <w:rsid w:val="00C679AB"/>
    <w:rsid w:val="00C813A0"/>
    <w:rsid w:val="00C85668"/>
    <w:rsid w:val="00C87D3D"/>
    <w:rsid w:val="00C92AC6"/>
    <w:rsid w:val="00CA1006"/>
    <w:rsid w:val="00CA2F87"/>
    <w:rsid w:val="00CA39A1"/>
    <w:rsid w:val="00CB11F5"/>
    <w:rsid w:val="00CB7BD2"/>
    <w:rsid w:val="00CC09D7"/>
    <w:rsid w:val="00CC1A37"/>
    <w:rsid w:val="00CC446A"/>
    <w:rsid w:val="00CE22E7"/>
    <w:rsid w:val="00CE31DA"/>
    <w:rsid w:val="00CE6620"/>
    <w:rsid w:val="00CE6786"/>
    <w:rsid w:val="00CE73CD"/>
    <w:rsid w:val="00CF1FC0"/>
    <w:rsid w:val="00CF4545"/>
    <w:rsid w:val="00CF4BAB"/>
    <w:rsid w:val="00D00DB2"/>
    <w:rsid w:val="00D03B91"/>
    <w:rsid w:val="00D0653D"/>
    <w:rsid w:val="00D16503"/>
    <w:rsid w:val="00D26097"/>
    <w:rsid w:val="00D4120C"/>
    <w:rsid w:val="00D44000"/>
    <w:rsid w:val="00D4404E"/>
    <w:rsid w:val="00D44158"/>
    <w:rsid w:val="00D50195"/>
    <w:rsid w:val="00D51102"/>
    <w:rsid w:val="00D622A3"/>
    <w:rsid w:val="00D62C48"/>
    <w:rsid w:val="00D64795"/>
    <w:rsid w:val="00D649E1"/>
    <w:rsid w:val="00D6752D"/>
    <w:rsid w:val="00D7036F"/>
    <w:rsid w:val="00D706D3"/>
    <w:rsid w:val="00D77FCB"/>
    <w:rsid w:val="00D81C56"/>
    <w:rsid w:val="00D81D58"/>
    <w:rsid w:val="00D849BD"/>
    <w:rsid w:val="00D869FF"/>
    <w:rsid w:val="00D9038C"/>
    <w:rsid w:val="00D93B6E"/>
    <w:rsid w:val="00D94FFB"/>
    <w:rsid w:val="00D959BA"/>
    <w:rsid w:val="00D95CA6"/>
    <w:rsid w:val="00DA603F"/>
    <w:rsid w:val="00DB4CF4"/>
    <w:rsid w:val="00DB5353"/>
    <w:rsid w:val="00DC1E98"/>
    <w:rsid w:val="00DC43FB"/>
    <w:rsid w:val="00DC5F4F"/>
    <w:rsid w:val="00DD4C53"/>
    <w:rsid w:val="00DD4DFE"/>
    <w:rsid w:val="00DD55E2"/>
    <w:rsid w:val="00DE344A"/>
    <w:rsid w:val="00DF50F6"/>
    <w:rsid w:val="00DF5F50"/>
    <w:rsid w:val="00DF75FF"/>
    <w:rsid w:val="00E03841"/>
    <w:rsid w:val="00E10867"/>
    <w:rsid w:val="00E11851"/>
    <w:rsid w:val="00E15F94"/>
    <w:rsid w:val="00E37A25"/>
    <w:rsid w:val="00E549B0"/>
    <w:rsid w:val="00E55CD0"/>
    <w:rsid w:val="00E56F52"/>
    <w:rsid w:val="00E57FD6"/>
    <w:rsid w:val="00E660DA"/>
    <w:rsid w:val="00E7247F"/>
    <w:rsid w:val="00E72BE8"/>
    <w:rsid w:val="00E869CD"/>
    <w:rsid w:val="00E92978"/>
    <w:rsid w:val="00EA3762"/>
    <w:rsid w:val="00EA49B2"/>
    <w:rsid w:val="00EB029C"/>
    <w:rsid w:val="00EB698A"/>
    <w:rsid w:val="00ED7D81"/>
    <w:rsid w:val="00EE2A2D"/>
    <w:rsid w:val="00EE432A"/>
    <w:rsid w:val="00EE5668"/>
    <w:rsid w:val="00F120FC"/>
    <w:rsid w:val="00F15F3F"/>
    <w:rsid w:val="00F16FE8"/>
    <w:rsid w:val="00F40815"/>
    <w:rsid w:val="00F41C0A"/>
    <w:rsid w:val="00F476D7"/>
    <w:rsid w:val="00F5361E"/>
    <w:rsid w:val="00F61C27"/>
    <w:rsid w:val="00F64B7E"/>
    <w:rsid w:val="00F72EAD"/>
    <w:rsid w:val="00F92A7F"/>
    <w:rsid w:val="00F9408D"/>
    <w:rsid w:val="00FA67F0"/>
    <w:rsid w:val="00FB528E"/>
    <w:rsid w:val="00FB5DAC"/>
    <w:rsid w:val="00FC4313"/>
    <w:rsid w:val="00FC7527"/>
    <w:rsid w:val="00FD6ADB"/>
    <w:rsid w:val="00FE1FF3"/>
    <w:rsid w:val="00FE3A7B"/>
    <w:rsid w:val="00FF5C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85B56CB"/>
  <w15:chartTrackingRefBased/>
  <w15:docId w15:val="{B2008446-6842-4E2E-BA68-F70ACA263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tulo1">
    <w:name w:val="heading 1"/>
    <w:basedOn w:val="Normal"/>
    <w:next w:val="Normal"/>
    <w:qFormat/>
    <w:pPr>
      <w:keepNext/>
      <w:spacing w:before="120"/>
      <w:outlineLvl w:val="0"/>
    </w:pPr>
    <w:rPr>
      <w:rFonts w:ascii="Arial" w:hAnsi="Arial" w:cs="Arial"/>
      <w:b/>
      <w:bCs/>
      <w:sz w:val="18"/>
      <w:szCs w:val="18"/>
      <w:lang w:val="en-US"/>
    </w:rPr>
  </w:style>
  <w:style w:type="paragraph" w:styleId="Ttulo2">
    <w:name w:val="heading 2"/>
    <w:basedOn w:val="Normal"/>
    <w:next w:val="Normal"/>
    <w:qFormat/>
    <w:pPr>
      <w:keepNext/>
      <w:spacing w:before="120"/>
      <w:jc w:val="both"/>
      <w:outlineLvl w:val="1"/>
    </w:pPr>
    <w:rPr>
      <w:rFonts w:ascii="Arial" w:hAnsi="Arial" w:cs="Arial"/>
      <w:i/>
      <w:iCs/>
      <w:sz w:val="12"/>
      <w:szCs w:val="12"/>
    </w:rPr>
  </w:style>
  <w:style w:type="paragraph" w:styleId="Ttulo3">
    <w:name w:val="heading 3"/>
    <w:basedOn w:val="Normal"/>
    <w:next w:val="Normal"/>
    <w:qFormat/>
    <w:pPr>
      <w:keepNext/>
      <w:outlineLvl w:val="2"/>
    </w:pPr>
    <w:rPr>
      <w:rFonts w:ascii="Arial" w:hAnsi="Arial" w:cs="Arial"/>
      <w:i/>
      <w:i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Nmerodepgina">
    <w:name w:val="page number"/>
    <w:basedOn w:val="Fontepargpadro"/>
  </w:style>
  <w:style w:type="paragraph" w:styleId="MapadoDocumento">
    <w:name w:val="Document Map"/>
    <w:basedOn w:val="Normal"/>
    <w:semiHidden/>
    <w:pPr>
      <w:shd w:val="clear" w:color="auto" w:fill="000080"/>
    </w:pPr>
    <w:rPr>
      <w:rFonts w:ascii="Tahoma" w:hAnsi="Tahoma" w:cs="Tahoma"/>
    </w:rPr>
  </w:style>
  <w:style w:type="paragraph" w:styleId="Corpodetexto3">
    <w:name w:val="Body Text 3"/>
    <w:basedOn w:val="Normal"/>
    <w:pPr>
      <w:jc w:val="both"/>
    </w:pPr>
  </w:style>
  <w:style w:type="paragraph" w:styleId="Corpodetexto">
    <w:name w:val="Body Text"/>
    <w:basedOn w:val="Normal"/>
    <w:link w:val="CorpodetextoChar"/>
    <w:pPr>
      <w:spacing w:before="120"/>
      <w:jc w:val="both"/>
    </w:pPr>
    <w:rPr>
      <w:rFonts w:ascii="Arial" w:hAnsi="Arial" w:cs="Arial"/>
      <w:sz w:val="18"/>
      <w:szCs w:val="18"/>
    </w:rPr>
  </w:style>
  <w:style w:type="paragraph" w:styleId="Legenda">
    <w:name w:val="caption"/>
    <w:basedOn w:val="Normal"/>
    <w:next w:val="Normal"/>
    <w:unhideWhenUsed/>
    <w:qFormat/>
    <w:rsid w:val="00C66A7A"/>
    <w:rPr>
      <w:b/>
      <w:bCs/>
      <w:sz w:val="20"/>
      <w:szCs w:val="20"/>
    </w:rPr>
  </w:style>
  <w:style w:type="table" w:styleId="Tabelacomgrade">
    <w:name w:val="Table Grid"/>
    <w:basedOn w:val="Tabelanormal"/>
    <w:uiPriority w:val="39"/>
    <w:rsid w:val="00A1556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4B6EDE"/>
    <w:rPr>
      <w:rFonts w:ascii="Calibri" w:eastAsia="Calibri" w:hAnsi="Calibri"/>
      <w:sz w:val="22"/>
      <w:szCs w:val="22"/>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2E1EAE"/>
    <w:pPr>
      <w:autoSpaceDE w:val="0"/>
      <w:autoSpaceDN w:val="0"/>
      <w:adjustRightInd w:val="0"/>
    </w:pPr>
    <w:rPr>
      <w:rFonts w:ascii="Arial" w:hAnsi="Arial" w:cs="Arial"/>
      <w:color w:val="000000"/>
      <w:sz w:val="24"/>
      <w:szCs w:val="24"/>
    </w:rPr>
  </w:style>
  <w:style w:type="character" w:customStyle="1" w:styleId="CorpodetextoChar">
    <w:name w:val="Corpo de texto Char"/>
    <w:link w:val="Corpodetexto"/>
    <w:rsid w:val="00032C58"/>
    <w:rPr>
      <w:rFonts w:ascii="Arial" w:hAnsi="Arial" w:cs="Arial"/>
      <w:sz w:val="18"/>
      <w:szCs w:val="18"/>
    </w:rPr>
  </w:style>
  <w:style w:type="paragraph" w:styleId="Reviso">
    <w:name w:val="Revision"/>
    <w:hidden/>
    <w:uiPriority w:val="99"/>
    <w:semiHidden/>
    <w:rsid w:val="009603E7"/>
    <w:rPr>
      <w:sz w:val="24"/>
      <w:szCs w:val="24"/>
    </w:rPr>
  </w:style>
  <w:style w:type="character" w:styleId="Refdecomentrio">
    <w:name w:val="annotation reference"/>
    <w:basedOn w:val="Fontepargpadro"/>
    <w:rsid w:val="00D4404E"/>
    <w:rPr>
      <w:sz w:val="16"/>
      <w:szCs w:val="16"/>
    </w:rPr>
  </w:style>
  <w:style w:type="paragraph" w:styleId="Textodecomentrio">
    <w:name w:val="annotation text"/>
    <w:basedOn w:val="Normal"/>
    <w:link w:val="TextodecomentrioChar"/>
    <w:rsid w:val="00D4404E"/>
    <w:rPr>
      <w:sz w:val="20"/>
      <w:szCs w:val="20"/>
    </w:rPr>
  </w:style>
  <w:style w:type="character" w:customStyle="1" w:styleId="TextodecomentrioChar">
    <w:name w:val="Texto de comentário Char"/>
    <w:basedOn w:val="Fontepargpadro"/>
    <w:link w:val="Textodecomentrio"/>
    <w:rsid w:val="00D4404E"/>
  </w:style>
  <w:style w:type="paragraph" w:styleId="Assuntodocomentrio">
    <w:name w:val="annotation subject"/>
    <w:basedOn w:val="Textodecomentrio"/>
    <w:next w:val="Textodecomentrio"/>
    <w:link w:val="AssuntodocomentrioChar"/>
    <w:rsid w:val="00D4404E"/>
    <w:rPr>
      <w:b/>
      <w:bCs/>
    </w:rPr>
  </w:style>
  <w:style w:type="character" w:customStyle="1" w:styleId="AssuntodocomentrioChar">
    <w:name w:val="Assunto do comentário Char"/>
    <w:basedOn w:val="TextodecomentrioChar"/>
    <w:link w:val="Assuntodocomentrio"/>
    <w:rsid w:val="00D4404E"/>
    <w:rPr>
      <w:b/>
      <w:bCs/>
    </w:rPr>
  </w:style>
  <w:style w:type="character" w:styleId="Hyperlink">
    <w:name w:val="Hyperlink"/>
    <w:basedOn w:val="Fontepargpadro"/>
    <w:rsid w:val="00AE06B1"/>
    <w:rPr>
      <w:color w:val="0563C1" w:themeColor="hyperlink"/>
      <w:u w:val="single"/>
    </w:rPr>
  </w:style>
  <w:style w:type="character" w:styleId="MenoPendente">
    <w:name w:val="Unresolved Mention"/>
    <w:basedOn w:val="Fontepargpadro"/>
    <w:uiPriority w:val="99"/>
    <w:semiHidden/>
    <w:unhideWhenUsed/>
    <w:rsid w:val="00AE06B1"/>
    <w:rPr>
      <w:color w:val="605E5C"/>
      <w:shd w:val="clear" w:color="auto" w:fill="E1DFDD"/>
    </w:rPr>
  </w:style>
  <w:style w:type="character" w:styleId="TextodoEspaoReservado">
    <w:name w:val="Placeholder Text"/>
    <w:basedOn w:val="Fontepargpadro"/>
    <w:uiPriority w:val="99"/>
    <w:semiHidden/>
    <w:rsid w:val="004118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76393">
      <w:bodyDiv w:val="1"/>
      <w:marLeft w:val="0"/>
      <w:marRight w:val="0"/>
      <w:marTop w:val="0"/>
      <w:marBottom w:val="0"/>
      <w:divBdr>
        <w:top w:val="none" w:sz="0" w:space="0" w:color="auto"/>
        <w:left w:val="none" w:sz="0" w:space="0" w:color="auto"/>
        <w:bottom w:val="none" w:sz="0" w:space="0" w:color="auto"/>
        <w:right w:val="none" w:sz="0" w:space="0" w:color="auto"/>
      </w:divBdr>
    </w:div>
    <w:div w:id="262029738">
      <w:bodyDiv w:val="1"/>
      <w:marLeft w:val="0"/>
      <w:marRight w:val="0"/>
      <w:marTop w:val="0"/>
      <w:marBottom w:val="0"/>
      <w:divBdr>
        <w:top w:val="none" w:sz="0" w:space="0" w:color="auto"/>
        <w:left w:val="none" w:sz="0" w:space="0" w:color="auto"/>
        <w:bottom w:val="none" w:sz="0" w:space="0" w:color="auto"/>
        <w:right w:val="none" w:sz="0" w:space="0" w:color="auto"/>
      </w:divBdr>
    </w:div>
    <w:div w:id="674578648">
      <w:bodyDiv w:val="1"/>
      <w:marLeft w:val="0"/>
      <w:marRight w:val="0"/>
      <w:marTop w:val="0"/>
      <w:marBottom w:val="0"/>
      <w:divBdr>
        <w:top w:val="none" w:sz="0" w:space="0" w:color="auto"/>
        <w:left w:val="none" w:sz="0" w:space="0" w:color="auto"/>
        <w:bottom w:val="none" w:sz="0" w:space="0" w:color="auto"/>
        <w:right w:val="none" w:sz="0" w:space="0" w:color="auto"/>
      </w:divBdr>
    </w:div>
    <w:div w:id="844124630">
      <w:bodyDiv w:val="1"/>
      <w:marLeft w:val="0"/>
      <w:marRight w:val="0"/>
      <w:marTop w:val="0"/>
      <w:marBottom w:val="0"/>
      <w:divBdr>
        <w:top w:val="none" w:sz="0" w:space="0" w:color="auto"/>
        <w:left w:val="none" w:sz="0" w:space="0" w:color="auto"/>
        <w:bottom w:val="none" w:sz="0" w:space="0" w:color="auto"/>
        <w:right w:val="none" w:sz="0" w:space="0" w:color="auto"/>
      </w:divBdr>
    </w:div>
    <w:div w:id="171515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9586D-3BD7-438B-B66F-F0BA52CEE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2401</TotalTime>
  <Pages>1</Pages>
  <Words>2606</Words>
  <Characters>14073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lpstr>
    </vt:vector>
  </TitlesOfParts>
  <Company>Petrobras</Company>
  <LinksUpToDate>false</LinksUpToDate>
  <CharactersWithSpaces>16646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Carlos Mendonca</dc:creator>
  <cp:keywords/>
  <dc:description/>
  <cp:lastModifiedBy>Ana Carla Pinheiro</cp:lastModifiedBy>
  <cp:revision>133</cp:revision>
  <cp:lastPrinted>2023-05-28T19:05:00Z</cp:lastPrinted>
  <dcterms:created xsi:type="dcterms:W3CDTF">2023-05-17T12:32:00Z</dcterms:created>
  <dcterms:modified xsi:type="dcterms:W3CDTF">2023-05-28T19:05:00Z</dcterms:modified>
</cp:coreProperties>
</file>