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091C" w14:textId="77777777" w:rsidR="0022184F" w:rsidRDefault="0022184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234C5522" w14:textId="77777777" w:rsidR="0022184F" w:rsidRPr="008D25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8D2573">
        <w:rPr>
          <w:rFonts w:ascii="Arial" w:eastAsia="Arial" w:hAnsi="Arial" w:cs="Arial"/>
          <w:b/>
          <w:color w:val="000000"/>
          <w:lang w:val="en-US"/>
        </w:rPr>
        <w:t xml:space="preserve">An extended hybrid OCCAM-CG algorithm with application to inversion of </w:t>
      </w:r>
      <w:proofErr w:type="spellStart"/>
      <w:r w:rsidRPr="008D2573">
        <w:rPr>
          <w:rFonts w:ascii="Arial" w:eastAsia="Arial" w:hAnsi="Arial" w:cs="Arial"/>
          <w:b/>
          <w:color w:val="000000"/>
          <w:lang w:val="en-US"/>
        </w:rPr>
        <w:t>mCSEM</w:t>
      </w:r>
      <w:proofErr w:type="spellEnd"/>
      <w:r w:rsidRPr="008D2573">
        <w:rPr>
          <w:rFonts w:ascii="Arial" w:eastAsia="Arial" w:hAnsi="Arial" w:cs="Arial"/>
          <w:b/>
          <w:color w:val="000000"/>
          <w:lang w:val="en-US"/>
        </w:rPr>
        <w:t xml:space="preserve"> data</w:t>
      </w:r>
    </w:p>
    <w:p w14:paraId="1657CB9A" w14:textId="77777777" w:rsidR="0022184F" w:rsidRPr="0069026F" w:rsidRDefault="00000000" w:rsidP="008D2573">
      <w:pPr>
        <w:ind w:left="0" w:hanging="2"/>
        <w:rPr>
          <w:rFonts w:ascii="Arial" w:eastAsia="Arial" w:hAnsi="Arial" w:cs="Arial"/>
          <w:sz w:val="20"/>
          <w:szCs w:val="20"/>
          <w:vertAlign w:val="superscript"/>
        </w:rPr>
      </w:pPr>
      <w:r w:rsidRPr="0069026F">
        <w:rPr>
          <w:rFonts w:ascii="Arial" w:eastAsia="Arial" w:hAnsi="Arial" w:cs="Arial"/>
          <w:sz w:val="20"/>
          <w:szCs w:val="20"/>
        </w:rPr>
        <w:t>Williams Lima</w:t>
      </w:r>
      <w:r w:rsidR="008D2573" w:rsidRPr="0069026F">
        <w:rPr>
          <w:rFonts w:ascii="Arial" w:eastAsia="Arial" w:hAnsi="Arial" w:cs="Arial"/>
          <w:sz w:val="20"/>
          <w:szCs w:val="20"/>
          <w:vertAlign w:val="superscript"/>
        </w:rPr>
        <w:t>1</w:t>
      </w:r>
      <w:r w:rsidRPr="0069026F">
        <w:rPr>
          <w:rFonts w:ascii="Arial" w:eastAsia="Arial" w:hAnsi="Arial" w:cs="Arial"/>
          <w:sz w:val="20"/>
          <w:szCs w:val="20"/>
        </w:rPr>
        <w:t>, Gary E</w:t>
      </w:r>
      <w:r w:rsidR="008D2573" w:rsidRPr="0069026F">
        <w:rPr>
          <w:rFonts w:ascii="Arial" w:eastAsia="Arial" w:hAnsi="Arial" w:cs="Arial"/>
          <w:sz w:val="20"/>
          <w:szCs w:val="20"/>
        </w:rPr>
        <w:t>gbert</w:t>
      </w:r>
      <w:r w:rsidR="008D2573" w:rsidRPr="0069026F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69026F">
        <w:rPr>
          <w:rFonts w:ascii="Arial" w:eastAsia="Arial" w:hAnsi="Arial" w:cs="Arial"/>
          <w:sz w:val="20"/>
          <w:szCs w:val="20"/>
        </w:rPr>
        <w:t>, Sergio L. Fontes</w:t>
      </w:r>
      <w:r w:rsidR="008D2573" w:rsidRPr="0069026F">
        <w:rPr>
          <w:rFonts w:ascii="Arial" w:eastAsia="Arial" w:hAnsi="Arial" w:cs="Arial"/>
          <w:sz w:val="20"/>
          <w:szCs w:val="20"/>
          <w:vertAlign w:val="superscript"/>
        </w:rPr>
        <w:t>1</w:t>
      </w:r>
      <w:r w:rsidRPr="0069026F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69026F">
        <w:rPr>
          <w:rFonts w:ascii="Arial" w:eastAsia="Arial" w:hAnsi="Arial" w:cs="Arial"/>
          <w:sz w:val="20"/>
          <w:szCs w:val="20"/>
        </w:rPr>
        <w:t>Naser</w:t>
      </w:r>
      <w:proofErr w:type="spellEnd"/>
      <w:r w:rsidRPr="0069026F">
        <w:rPr>
          <w:rFonts w:ascii="Arial" w:eastAsia="Arial" w:hAnsi="Arial" w:cs="Arial"/>
          <w:sz w:val="20"/>
          <w:szCs w:val="20"/>
        </w:rPr>
        <w:t xml:space="preserve"> Meqbel</w:t>
      </w:r>
      <w:r w:rsidR="008D2573" w:rsidRPr="0069026F">
        <w:rPr>
          <w:rFonts w:ascii="Arial" w:eastAsia="Arial" w:hAnsi="Arial" w:cs="Arial"/>
          <w:sz w:val="20"/>
          <w:szCs w:val="20"/>
          <w:vertAlign w:val="superscript"/>
        </w:rPr>
        <w:t>1</w:t>
      </w:r>
      <w:r w:rsidRPr="0069026F">
        <w:rPr>
          <w:rFonts w:ascii="Arial" w:eastAsia="Arial" w:hAnsi="Arial" w:cs="Arial"/>
          <w:sz w:val="20"/>
          <w:szCs w:val="20"/>
        </w:rPr>
        <w:t>, Emanuele La</w:t>
      </w:r>
      <w:r w:rsidR="008D2573" w:rsidRPr="0069026F">
        <w:rPr>
          <w:rFonts w:ascii="Arial" w:eastAsia="Arial" w:hAnsi="Arial" w:cs="Arial"/>
          <w:sz w:val="20"/>
          <w:szCs w:val="20"/>
        </w:rPr>
        <w:t xml:space="preserve"> </w:t>
      </w:r>
      <w:r w:rsidRPr="0069026F">
        <w:rPr>
          <w:rFonts w:ascii="Arial" w:eastAsia="Arial" w:hAnsi="Arial" w:cs="Arial"/>
          <w:sz w:val="20"/>
          <w:szCs w:val="20"/>
        </w:rPr>
        <w:t>Terra</w:t>
      </w:r>
      <w:r w:rsidR="008D2573" w:rsidRPr="0069026F">
        <w:rPr>
          <w:rFonts w:ascii="Arial" w:eastAsia="Arial" w:hAnsi="Arial" w:cs="Arial"/>
          <w:sz w:val="20"/>
          <w:szCs w:val="20"/>
          <w:vertAlign w:val="superscript"/>
        </w:rPr>
        <w:t>1</w:t>
      </w:r>
      <w:r w:rsidRPr="0069026F">
        <w:rPr>
          <w:rFonts w:ascii="Arial" w:eastAsia="Arial" w:hAnsi="Arial" w:cs="Arial"/>
          <w:sz w:val="20"/>
          <w:szCs w:val="20"/>
        </w:rPr>
        <w:t>, Artur Benevides</w:t>
      </w:r>
      <w:r w:rsidR="008D2573" w:rsidRPr="0069026F">
        <w:rPr>
          <w:rFonts w:ascii="Arial" w:eastAsia="Arial" w:hAnsi="Arial" w:cs="Arial"/>
          <w:sz w:val="20"/>
          <w:szCs w:val="20"/>
          <w:vertAlign w:val="superscript"/>
        </w:rPr>
        <w:t>1</w:t>
      </w:r>
      <w:r w:rsidRPr="0069026F">
        <w:rPr>
          <w:rFonts w:ascii="Arial" w:eastAsia="Arial" w:hAnsi="Arial" w:cs="Arial"/>
          <w:sz w:val="20"/>
          <w:szCs w:val="20"/>
        </w:rPr>
        <w:t>, Paulo Werdt</w:t>
      </w:r>
      <w:r w:rsidR="008D2573" w:rsidRPr="0069026F">
        <w:rPr>
          <w:rFonts w:ascii="Arial" w:eastAsia="Arial" w:hAnsi="Arial" w:cs="Arial"/>
          <w:sz w:val="20"/>
          <w:szCs w:val="20"/>
          <w:vertAlign w:val="superscript"/>
        </w:rPr>
        <w:t>1</w:t>
      </w:r>
    </w:p>
    <w:p w14:paraId="696F4B46" w14:textId="77777777" w:rsidR="008D2573" w:rsidRPr="0069026F" w:rsidRDefault="008D2573" w:rsidP="008D2573">
      <w:pPr>
        <w:ind w:left="0" w:hanging="2"/>
        <w:rPr>
          <w:rFonts w:ascii="Arial" w:eastAsia="Arial" w:hAnsi="Arial" w:cs="Arial"/>
          <w:sz w:val="20"/>
          <w:szCs w:val="20"/>
          <w:vertAlign w:val="superscript"/>
        </w:rPr>
      </w:pPr>
    </w:p>
    <w:p w14:paraId="15ED1F38" w14:textId="640ACD24" w:rsidR="008D2573" w:rsidRPr="008D2573" w:rsidRDefault="008D2573" w:rsidP="008D2573">
      <w:pPr>
        <w:ind w:left="0" w:hanging="2"/>
        <w:jc w:val="center"/>
        <w:rPr>
          <w:rFonts w:ascii="Arial" w:eastAsia="Arial" w:hAnsi="Arial" w:cs="Arial"/>
          <w:sz w:val="18"/>
          <w:szCs w:val="18"/>
        </w:rPr>
        <w:sectPr w:rsidR="008D2573" w:rsidRPr="008D25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/>
          <w:pgMar w:top="1134" w:right="1134" w:bottom="1134" w:left="1134" w:header="709" w:footer="284" w:gutter="0"/>
          <w:pgNumType w:start="1"/>
          <w:cols w:space="720"/>
          <w:titlePg/>
        </w:sectPr>
      </w:pP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Observatório Nacional, </w:t>
      </w:r>
      <w:r w:rsidRPr="008D2573"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Oregon </w:t>
      </w:r>
      <w:proofErr w:type="spellStart"/>
      <w:r>
        <w:rPr>
          <w:rFonts w:ascii="Arial" w:eastAsia="Arial" w:hAnsi="Arial" w:cs="Arial"/>
          <w:sz w:val="18"/>
          <w:szCs w:val="18"/>
        </w:rPr>
        <w:t>State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University</w:t>
      </w:r>
      <w:proofErr w:type="spellEnd"/>
    </w:p>
    <w:p w14:paraId="44D363D0" w14:textId="77777777" w:rsidR="0022184F" w:rsidRDefault="00000000">
      <w:pPr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Copyright 2023, </w:t>
      </w:r>
      <w:proofErr w:type="spellStart"/>
      <w:r>
        <w:rPr>
          <w:rFonts w:ascii="Arial" w:eastAsia="Arial" w:hAnsi="Arial" w:cs="Arial"/>
          <w:sz w:val="12"/>
          <w:szCs w:val="12"/>
        </w:rPr>
        <w:t>SBGf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- Sociedade Brasileira de Geofísica.</w:t>
      </w:r>
    </w:p>
    <w:p w14:paraId="7CA8EC70" w14:textId="77777777" w:rsidR="0022184F" w:rsidRPr="008D2573" w:rsidRDefault="00000000">
      <w:pPr>
        <w:jc w:val="both"/>
        <w:rPr>
          <w:rFonts w:ascii="Arial" w:eastAsia="Arial" w:hAnsi="Arial" w:cs="Arial"/>
          <w:sz w:val="12"/>
          <w:szCs w:val="12"/>
          <w:lang w:val="en-US"/>
        </w:rPr>
      </w:pPr>
      <w:r w:rsidRPr="008D2573">
        <w:rPr>
          <w:rFonts w:ascii="Arial" w:eastAsia="Arial" w:hAnsi="Arial" w:cs="Arial"/>
          <w:sz w:val="12"/>
          <w:szCs w:val="12"/>
          <w:lang w:val="en-US"/>
        </w:rPr>
        <w:t>This paper was prepared for presentation during the 18</w:t>
      </w:r>
      <w:r w:rsidRPr="008D2573">
        <w:rPr>
          <w:rFonts w:ascii="Arial" w:eastAsia="Arial" w:hAnsi="Arial" w:cs="Arial"/>
          <w:sz w:val="12"/>
          <w:szCs w:val="12"/>
          <w:vertAlign w:val="superscript"/>
          <w:lang w:val="en-US"/>
        </w:rPr>
        <w:t>th</w:t>
      </w:r>
      <w:r w:rsidRPr="008D2573">
        <w:rPr>
          <w:rFonts w:ascii="Arial" w:eastAsia="Arial" w:hAnsi="Arial" w:cs="Arial"/>
          <w:sz w:val="12"/>
          <w:szCs w:val="12"/>
          <w:lang w:val="en-US"/>
        </w:rPr>
        <w:t xml:space="preserve"> International Congress of the Brazilian Geophysical Society held in Rio de Janeiro, Brazil, 16-19 October 2023.</w:t>
      </w:r>
    </w:p>
    <w:p w14:paraId="778388A2" w14:textId="77777777" w:rsidR="0022184F" w:rsidRPr="008D2573" w:rsidRDefault="00000000">
      <w:pPr>
        <w:jc w:val="both"/>
        <w:rPr>
          <w:rFonts w:ascii="Arial" w:eastAsia="Arial" w:hAnsi="Arial" w:cs="Arial"/>
          <w:sz w:val="12"/>
          <w:szCs w:val="12"/>
          <w:lang w:val="en-US"/>
        </w:rPr>
      </w:pPr>
      <w:r w:rsidRPr="008D2573">
        <w:rPr>
          <w:rFonts w:ascii="Arial" w:eastAsia="Arial" w:hAnsi="Arial" w:cs="Arial"/>
          <w:sz w:val="12"/>
          <w:szCs w:val="12"/>
          <w:lang w:val="en-US"/>
        </w:rPr>
        <w:t>Contents of this paper were reviewed by the Technical Committee of the 18</w:t>
      </w:r>
      <w:r w:rsidRPr="008D2573">
        <w:rPr>
          <w:rFonts w:ascii="Arial" w:eastAsia="Arial" w:hAnsi="Arial" w:cs="Arial"/>
          <w:sz w:val="12"/>
          <w:szCs w:val="12"/>
          <w:vertAlign w:val="superscript"/>
          <w:lang w:val="en-US"/>
        </w:rPr>
        <w:t>th</w:t>
      </w:r>
      <w:r w:rsidRPr="008D2573">
        <w:rPr>
          <w:rFonts w:ascii="Arial" w:eastAsia="Arial" w:hAnsi="Arial" w:cs="Arial"/>
          <w:sz w:val="12"/>
          <w:szCs w:val="12"/>
          <w:lang w:val="en-US"/>
        </w:rPr>
        <w:t xml:space="preserve"> International Congress of the Brazilian Geophysical Society and do not necessarily represent any position of the </w:t>
      </w:r>
      <w:proofErr w:type="spellStart"/>
      <w:r w:rsidRPr="008D2573">
        <w:rPr>
          <w:rFonts w:ascii="Arial" w:eastAsia="Arial" w:hAnsi="Arial" w:cs="Arial"/>
          <w:sz w:val="12"/>
          <w:szCs w:val="12"/>
          <w:lang w:val="en-US"/>
        </w:rPr>
        <w:t>SBGf</w:t>
      </w:r>
      <w:proofErr w:type="spellEnd"/>
      <w:r w:rsidRPr="008D2573">
        <w:rPr>
          <w:rFonts w:ascii="Arial" w:eastAsia="Arial" w:hAnsi="Arial" w:cs="Arial"/>
          <w:sz w:val="12"/>
          <w:szCs w:val="12"/>
          <w:lang w:val="en-US"/>
        </w:rPr>
        <w:t>, its officers or members. Electronic reproduction or storage of any part of this paper for commercial purposes without the written consent of the Brazilian Geophysical Society is prohibited.</w:t>
      </w:r>
    </w:p>
    <w:p w14:paraId="0C1DAA1D" w14:textId="77777777" w:rsidR="0022184F" w:rsidRPr="008D2573" w:rsidRDefault="00000000">
      <w:pPr>
        <w:tabs>
          <w:tab w:val="left" w:pos="4604"/>
        </w:tabs>
        <w:jc w:val="both"/>
        <w:rPr>
          <w:rFonts w:ascii="Arial" w:eastAsia="Arial" w:hAnsi="Arial" w:cs="Arial"/>
          <w:sz w:val="12"/>
          <w:szCs w:val="12"/>
          <w:lang w:val="en-US"/>
        </w:rPr>
      </w:pPr>
      <w:r w:rsidRPr="008D2573">
        <w:rPr>
          <w:rFonts w:ascii="Arial" w:eastAsia="Arial" w:hAnsi="Arial" w:cs="Arial"/>
          <w:sz w:val="12"/>
          <w:szCs w:val="12"/>
          <w:lang w:val="en-US"/>
        </w:rPr>
        <w:t>_____________________________________________________________________________________________________________________________________________________</w:t>
      </w:r>
    </w:p>
    <w:p w14:paraId="6913C65E" w14:textId="77777777" w:rsidR="0022184F" w:rsidRDefault="00000000">
      <w:pPr>
        <w:pStyle w:val="Ttulo1"/>
        <w:spacing w:before="240"/>
        <w:ind w:left="0" w:hanging="2"/>
        <w:rPr>
          <w:sz w:val="20"/>
          <w:szCs w:val="20"/>
        </w:rPr>
      </w:pPr>
      <w:r>
        <w:rPr>
          <w:sz w:val="20"/>
          <w:szCs w:val="20"/>
        </w:rPr>
        <w:t>Abstract</w:t>
      </w:r>
    </w:p>
    <w:p w14:paraId="36ADE7F4" w14:textId="77777777" w:rsidR="0022184F" w:rsidRPr="008D2573" w:rsidRDefault="0022184F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48A85362" w14:textId="563A562B" w:rsidR="0022184F" w:rsidRPr="008D2573" w:rsidRDefault="00000000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8D2573">
        <w:rPr>
          <w:rFonts w:ascii="Arial" w:eastAsia="Arial" w:hAnsi="Arial" w:cs="Arial"/>
          <w:sz w:val="20"/>
          <w:szCs w:val="20"/>
          <w:lang w:val="en-US"/>
        </w:rPr>
        <w:t>We have developed an extended hybrid Data Space OCCAM-Conjugate Gradient (</w:t>
      </w:r>
      <w:proofErr w:type="spellStart"/>
      <w:r w:rsidRPr="008D2573">
        <w:rPr>
          <w:rFonts w:ascii="Arial" w:eastAsia="Arial" w:hAnsi="Arial" w:cs="Arial"/>
          <w:sz w:val="20"/>
          <w:szCs w:val="20"/>
          <w:lang w:val="en-US"/>
        </w:rPr>
        <w:t>mtxOCCAM</w:t>
      </w:r>
      <w:proofErr w:type="spellEnd"/>
      <w:r w:rsidRPr="008D2573">
        <w:rPr>
          <w:rFonts w:ascii="Arial" w:eastAsia="Arial" w:hAnsi="Arial" w:cs="Arial"/>
          <w:sz w:val="20"/>
          <w:szCs w:val="20"/>
          <w:lang w:val="en-US"/>
        </w:rPr>
        <w:t xml:space="preserve">-DCG) algorithm suitable for the nonlinear 3D inversion of multi-transmitter/frequency </w:t>
      </w:r>
      <w:proofErr w:type="spellStart"/>
      <w:r w:rsidRPr="008D2573">
        <w:rPr>
          <w:rFonts w:ascii="Arial" w:eastAsia="Arial" w:hAnsi="Arial" w:cs="Arial"/>
          <w:sz w:val="20"/>
          <w:szCs w:val="20"/>
          <w:lang w:val="en-US"/>
        </w:rPr>
        <w:t>mCSEM</w:t>
      </w:r>
      <w:proofErr w:type="spellEnd"/>
      <w:r w:rsidRPr="008D2573">
        <w:rPr>
          <w:rFonts w:ascii="Arial" w:eastAsia="Arial" w:hAnsi="Arial" w:cs="Arial"/>
          <w:sz w:val="20"/>
          <w:szCs w:val="20"/>
          <w:lang w:val="en-US"/>
        </w:rPr>
        <w:t xml:space="preserve"> data. It combines the memory and time efficiency of using Conjugate Gradient to solve the linear system of normal equations in a Gauss-Newton inversion, with the automatic selection of regularization/step length parameters as in the OCCAM algorithm. The basic hybrid algorithm (OCCAM-DCG) is based on the Golub-Kahan bidiagonalization of the Jacobian matrix followed by solution of the projected Gauss-Newton normal equations in a lower dimensional </w:t>
      </w:r>
      <w:proofErr w:type="spellStart"/>
      <w:r w:rsidRPr="008D2573">
        <w:rPr>
          <w:rFonts w:ascii="Arial" w:eastAsia="Arial" w:hAnsi="Arial" w:cs="Arial"/>
          <w:sz w:val="20"/>
          <w:szCs w:val="20"/>
          <w:lang w:val="en-US"/>
        </w:rPr>
        <w:t>Krylov</w:t>
      </w:r>
      <w:proofErr w:type="spellEnd"/>
      <w:r w:rsidRPr="008D2573">
        <w:rPr>
          <w:rFonts w:ascii="Arial" w:eastAsia="Arial" w:hAnsi="Arial" w:cs="Arial"/>
          <w:sz w:val="20"/>
          <w:szCs w:val="20"/>
          <w:lang w:val="en-US"/>
        </w:rPr>
        <w:t xml:space="preserve"> subspace. This reduction in problem dimension makes the OCCAM scheme computationally practical even for the </w:t>
      </w:r>
      <w:r w:rsidR="008D2573" w:rsidRPr="008D2573">
        <w:rPr>
          <w:rFonts w:ascii="Arial" w:eastAsia="Arial" w:hAnsi="Arial" w:cs="Arial"/>
          <w:sz w:val="20"/>
          <w:szCs w:val="20"/>
          <w:lang w:val="en-US"/>
        </w:rPr>
        <w:t>large-scale</w:t>
      </w:r>
      <w:r w:rsidRPr="008D2573">
        <w:rPr>
          <w:rFonts w:ascii="Arial" w:eastAsia="Arial" w:hAnsi="Arial" w:cs="Arial"/>
          <w:sz w:val="20"/>
          <w:szCs w:val="20"/>
          <w:lang w:val="en-US"/>
        </w:rPr>
        <w:t xml:space="preserve"> inversion problems that we are interested in. In the new algorithm, </w:t>
      </w:r>
      <w:proofErr w:type="spellStart"/>
      <w:r w:rsidRPr="008D2573">
        <w:rPr>
          <w:rFonts w:ascii="Arial" w:eastAsia="Arial" w:hAnsi="Arial" w:cs="Arial"/>
          <w:sz w:val="20"/>
          <w:szCs w:val="20"/>
          <w:lang w:val="en-US"/>
        </w:rPr>
        <w:t>mtxOCCAM</w:t>
      </w:r>
      <w:proofErr w:type="spellEnd"/>
      <w:r w:rsidRPr="008D2573">
        <w:rPr>
          <w:rFonts w:ascii="Arial" w:eastAsia="Arial" w:hAnsi="Arial" w:cs="Arial"/>
          <w:sz w:val="20"/>
          <w:szCs w:val="20"/>
          <w:lang w:val="en-US"/>
        </w:rPr>
        <w:t xml:space="preserve">-DCG, we save computations from the multiplicity of transmitter positions and frequencies to augment the dimension of the underlying subspace in which the Jacobian matrix is projected; </w:t>
      </w:r>
      <w:proofErr w:type="gramStart"/>
      <w:r w:rsidRPr="008D2573">
        <w:rPr>
          <w:rFonts w:ascii="Arial" w:eastAsia="Arial" w:hAnsi="Arial" w:cs="Arial"/>
          <w:sz w:val="20"/>
          <w:szCs w:val="20"/>
          <w:lang w:val="en-US"/>
        </w:rPr>
        <w:t>this</w:t>
      </w:r>
      <w:r w:rsidR="008D2573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8D2573">
        <w:rPr>
          <w:rFonts w:ascii="Arial" w:eastAsia="Arial" w:hAnsi="Arial" w:cs="Arial"/>
          <w:sz w:val="20"/>
          <w:szCs w:val="20"/>
          <w:lang w:val="en-US"/>
        </w:rPr>
        <w:t>speeds</w:t>
      </w:r>
      <w:proofErr w:type="gramEnd"/>
      <w:r w:rsidRPr="008D2573">
        <w:rPr>
          <w:rFonts w:ascii="Arial" w:eastAsia="Arial" w:hAnsi="Arial" w:cs="Arial"/>
          <w:sz w:val="20"/>
          <w:szCs w:val="20"/>
          <w:lang w:val="en-US"/>
        </w:rPr>
        <w:t xml:space="preserve"> up the convergence of the iterative solution of the normal equations during the Gauss-newton update, reducing the number of iterations, total computational time and memory usage relative to the OCCAM-DCG scheme. We show the effectiveness of our method through the inversion of a synthetic datasets based on the </w:t>
      </w:r>
      <w:proofErr w:type="spellStart"/>
      <w:r w:rsidRPr="008D2573">
        <w:rPr>
          <w:rFonts w:ascii="Arial" w:eastAsia="Arial" w:hAnsi="Arial" w:cs="Arial"/>
          <w:sz w:val="20"/>
          <w:szCs w:val="20"/>
          <w:lang w:val="en-US"/>
        </w:rPr>
        <w:t>Marlim</w:t>
      </w:r>
      <w:proofErr w:type="spellEnd"/>
      <w:r w:rsidRPr="008D2573">
        <w:rPr>
          <w:rFonts w:ascii="Arial" w:eastAsia="Arial" w:hAnsi="Arial" w:cs="Arial"/>
          <w:sz w:val="20"/>
          <w:szCs w:val="20"/>
          <w:lang w:val="en-US"/>
        </w:rPr>
        <w:t xml:space="preserve"> 3D resistivity model, demonstrating a significant speed up in convergence rate in comparison to OCCAM-DCG, and to a standard implementation of a Nonlinear Conjugate Gradient algorithm. We also demonstrate how the proposed algorithm can be useful in a joint inversion scenario, in our case combining MT and </w:t>
      </w:r>
      <w:proofErr w:type="spellStart"/>
      <w:r w:rsidRPr="008D2573">
        <w:rPr>
          <w:rFonts w:ascii="Arial" w:eastAsia="Arial" w:hAnsi="Arial" w:cs="Arial"/>
          <w:sz w:val="20"/>
          <w:szCs w:val="20"/>
          <w:lang w:val="en-US"/>
        </w:rPr>
        <w:t>mCSEM</w:t>
      </w:r>
      <w:proofErr w:type="spellEnd"/>
      <w:r w:rsidRPr="008D2573">
        <w:rPr>
          <w:rFonts w:ascii="Arial" w:eastAsia="Arial" w:hAnsi="Arial" w:cs="Arial"/>
          <w:sz w:val="20"/>
          <w:szCs w:val="20"/>
          <w:lang w:val="en-US"/>
        </w:rPr>
        <w:t xml:space="preserve"> data.   The hybrid scheme allows for efficient exploration of relative weights for the different measured data types. Besides, model sensitivities are automatically generated during the iterations of the algorithm; this information can be used in a posterior stage of the inversion for approximate uncertainty and resolution analysis of the solutions obtained.</w:t>
      </w:r>
    </w:p>
    <w:p w14:paraId="7C93A4F9" w14:textId="77777777" w:rsidR="0022184F" w:rsidRPr="008D2573" w:rsidRDefault="0022184F">
      <w:pPr>
        <w:spacing w:before="120"/>
        <w:ind w:left="0" w:hanging="2"/>
        <w:jc w:val="both"/>
        <w:rPr>
          <w:rFonts w:ascii="Arial" w:eastAsia="Arial" w:hAnsi="Arial" w:cs="Arial"/>
          <w:sz w:val="18"/>
          <w:szCs w:val="18"/>
          <w:lang w:val="en-US"/>
        </w:rPr>
        <w:sectPr w:rsidR="0022184F" w:rsidRPr="008D2573">
          <w:type w:val="continuous"/>
          <w:pgSz w:w="12242" w:h="15842"/>
          <w:pgMar w:top="1134" w:right="1134" w:bottom="1418" w:left="1134" w:header="709" w:footer="709" w:gutter="0"/>
          <w:cols w:space="720"/>
        </w:sectPr>
      </w:pPr>
    </w:p>
    <w:p w14:paraId="472CE482" w14:textId="77777777" w:rsidR="0022184F" w:rsidRPr="008D2573" w:rsidRDefault="0022184F">
      <w:pPr>
        <w:spacing w:before="120"/>
        <w:ind w:left="0" w:hanging="2"/>
        <w:jc w:val="both"/>
        <w:rPr>
          <w:rFonts w:ascii="Arial" w:eastAsia="Arial" w:hAnsi="Arial" w:cs="Arial"/>
          <w:sz w:val="18"/>
          <w:szCs w:val="18"/>
          <w:lang w:val="en-US"/>
        </w:rPr>
      </w:pPr>
    </w:p>
    <w:p w14:paraId="20473967" w14:textId="77777777" w:rsidR="0022184F" w:rsidRPr="008D2573" w:rsidRDefault="0022184F">
      <w:pPr>
        <w:spacing w:before="120"/>
        <w:ind w:left="0" w:hanging="2"/>
        <w:rPr>
          <w:rFonts w:ascii="Arial" w:eastAsia="Arial" w:hAnsi="Arial" w:cs="Arial"/>
          <w:sz w:val="18"/>
          <w:szCs w:val="18"/>
          <w:lang w:val="en-US"/>
        </w:rPr>
      </w:pPr>
    </w:p>
    <w:p w14:paraId="6771E6A7" w14:textId="77777777" w:rsidR="0022184F" w:rsidRPr="008D2573" w:rsidRDefault="0022184F">
      <w:pPr>
        <w:spacing w:before="120"/>
        <w:ind w:left="0" w:hanging="2"/>
        <w:rPr>
          <w:rFonts w:ascii="Arial" w:eastAsia="Arial" w:hAnsi="Arial" w:cs="Arial"/>
          <w:sz w:val="18"/>
          <w:szCs w:val="18"/>
          <w:lang w:val="en-US"/>
        </w:rPr>
      </w:pPr>
    </w:p>
    <w:p w14:paraId="17AA8464" w14:textId="77777777" w:rsidR="0022184F" w:rsidRPr="008D2573" w:rsidRDefault="0022184F">
      <w:pPr>
        <w:spacing w:before="120"/>
        <w:ind w:left="0" w:hanging="2"/>
        <w:rPr>
          <w:rFonts w:ascii="Arial" w:eastAsia="Arial" w:hAnsi="Arial" w:cs="Arial"/>
          <w:sz w:val="18"/>
          <w:szCs w:val="18"/>
          <w:lang w:val="en-US"/>
        </w:rPr>
      </w:pPr>
    </w:p>
    <w:p w14:paraId="03A59D24" w14:textId="77777777" w:rsidR="0022184F" w:rsidRPr="008D2573" w:rsidRDefault="0022184F">
      <w:pPr>
        <w:spacing w:before="120"/>
        <w:ind w:left="0" w:hanging="2"/>
        <w:rPr>
          <w:rFonts w:ascii="Arial" w:eastAsia="Arial" w:hAnsi="Arial" w:cs="Arial"/>
          <w:sz w:val="18"/>
          <w:szCs w:val="18"/>
          <w:lang w:val="en-US"/>
        </w:rPr>
      </w:pPr>
    </w:p>
    <w:sectPr w:rsidR="0022184F" w:rsidRPr="008D2573">
      <w:type w:val="continuous"/>
      <w:pgSz w:w="12242" w:h="15842"/>
      <w:pgMar w:top="1134" w:right="1134" w:bottom="1418" w:left="1134" w:header="709" w:footer="709" w:gutter="0"/>
      <w:cols w:num="2" w:space="720" w:equalWidth="0">
        <w:col w:w="4627" w:space="720"/>
        <w:col w:w="462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2A10" w14:textId="77777777" w:rsidR="008C63C5" w:rsidRDefault="008C63C5">
      <w:pPr>
        <w:spacing w:line="240" w:lineRule="auto"/>
        <w:ind w:left="0" w:hanging="2"/>
      </w:pPr>
      <w:r>
        <w:separator/>
      </w:r>
    </w:p>
  </w:endnote>
  <w:endnote w:type="continuationSeparator" w:id="0">
    <w:p w14:paraId="0EA2A184" w14:textId="77777777" w:rsidR="008C63C5" w:rsidRDefault="008C63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B12D" w14:textId="77777777" w:rsidR="0022184F" w:rsidRPr="008D25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lang w:val="en-US"/>
      </w:rPr>
    </w:pPr>
    <w:r w:rsidRPr="008D2573">
      <w:rPr>
        <w:rFonts w:ascii="Arial" w:eastAsia="Arial" w:hAnsi="Arial" w:cs="Arial"/>
        <w:color w:val="000000"/>
        <w:sz w:val="18"/>
        <w:szCs w:val="18"/>
        <w:lang w:val="en-US"/>
      </w:rPr>
      <w:t>Seventeenth International Congress of the Brazilian Geophysical Society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C00A" w14:textId="77777777" w:rsidR="0022184F" w:rsidRPr="008D25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  <w:lang w:val="en-US"/>
      </w:rPr>
    </w:pPr>
    <w:r w:rsidRPr="008D2573">
      <w:rPr>
        <w:rFonts w:ascii="Arial" w:eastAsia="Arial" w:hAnsi="Arial" w:cs="Arial"/>
        <w:color w:val="000000"/>
        <w:sz w:val="18"/>
        <w:szCs w:val="18"/>
        <w:lang w:val="en-US"/>
      </w:rPr>
      <w:t>Seventeenth International Congress of the Brazilian Geophysical Society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9E09" w14:textId="77777777" w:rsidR="0022184F" w:rsidRPr="008D25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  <w:lang w:val="en-US"/>
      </w:rPr>
    </w:pPr>
    <w:r w:rsidRPr="008D2573">
      <w:rPr>
        <w:rFonts w:ascii="Arial" w:eastAsia="Arial" w:hAnsi="Arial" w:cs="Arial"/>
        <w:color w:val="000000"/>
        <w:sz w:val="18"/>
        <w:szCs w:val="18"/>
        <w:lang w:val="en-US"/>
      </w:rPr>
      <w:t>Eighteenth International Congress of the Brazilian Geophysical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CBBC" w14:textId="77777777" w:rsidR="008C63C5" w:rsidRDefault="008C63C5">
      <w:pPr>
        <w:spacing w:line="240" w:lineRule="auto"/>
        <w:ind w:left="0" w:hanging="2"/>
      </w:pPr>
      <w:r>
        <w:separator/>
      </w:r>
    </w:p>
  </w:footnote>
  <w:footnote w:type="continuationSeparator" w:id="0">
    <w:p w14:paraId="7542B93C" w14:textId="77777777" w:rsidR="008C63C5" w:rsidRDefault="008C63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89F4" w14:textId="77777777" w:rsidR="002218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98612C7" w14:textId="77777777" w:rsidR="0022184F" w:rsidRPr="008D25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838"/>
      </w:tabs>
      <w:spacing w:line="240" w:lineRule="auto"/>
      <w:ind w:left="0" w:right="357" w:hanging="2"/>
      <w:jc w:val="center"/>
      <w:rPr>
        <w:color w:val="000000"/>
        <w:sz w:val="18"/>
        <w:szCs w:val="18"/>
        <w:lang w:val="en-US"/>
      </w:rPr>
    </w:pPr>
    <w:r w:rsidRPr="008D2573">
      <w:rPr>
        <w:rFonts w:ascii="Arial" w:eastAsia="Arial" w:hAnsi="Arial" w:cs="Arial"/>
        <w:smallCaps/>
        <w:color w:val="000000"/>
        <w:sz w:val="18"/>
        <w:szCs w:val="18"/>
        <w:lang w:val="en-US"/>
      </w:rPr>
      <w:t>Short Title (50 letters maximum. Font: Arial 9</w:t>
    </w:r>
    <w:r w:rsidRPr="008D2573">
      <w:rPr>
        <w:color w:val="000000"/>
        <w:lang w:val="en-US"/>
      </w:rPr>
      <w:t>)</w:t>
    </w:r>
  </w:p>
  <w:p w14:paraId="278B64E4" w14:textId="77777777" w:rsidR="0022184F" w:rsidRPr="008D25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036"/>
      </w:tabs>
      <w:spacing w:line="240" w:lineRule="auto"/>
      <w:ind w:left="-2" w:right="360" w:firstLine="0"/>
      <w:jc w:val="center"/>
      <w:rPr>
        <w:color w:val="000000"/>
        <w:sz w:val="4"/>
        <w:szCs w:val="4"/>
        <w:lang w:val="en-US"/>
      </w:rPr>
    </w:pPr>
    <w:r w:rsidRPr="008D2573">
      <w:rPr>
        <w:color w:val="000000"/>
        <w:sz w:val="4"/>
        <w:szCs w:val="4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2338" w14:textId="77777777" w:rsidR="002218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C7FC2AF" w14:textId="77777777" w:rsidR="0022184F" w:rsidRPr="008D25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838"/>
      </w:tabs>
      <w:spacing w:line="240" w:lineRule="auto"/>
      <w:ind w:left="0" w:right="357" w:hanging="2"/>
      <w:jc w:val="center"/>
      <w:rPr>
        <w:color w:val="000000"/>
        <w:sz w:val="18"/>
        <w:szCs w:val="18"/>
        <w:lang w:val="en-US"/>
      </w:rPr>
    </w:pPr>
    <w:r w:rsidRPr="008D2573">
      <w:rPr>
        <w:rFonts w:ascii="Arial" w:eastAsia="Arial" w:hAnsi="Arial" w:cs="Arial"/>
        <w:smallCaps/>
        <w:color w:val="000000"/>
        <w:sz w:val="18"/>
        <w:szCs w:val="18"/>
        <w:lang w:val="en-US"/>
      </w:rPr>
      <w:t>Authors (50 letters maximum. Font: Arial 9</w:t>
    </w:r>
    <w:r w:rsidRPr="008D2573">
      <w:rPr>
        <w:color w:val="000000"/>
        <w:lang w:val="en-US"/>
      </w:rPr>
      <w:t>)</w:t>
    </w:r>
  </w:p>
  <w:p w14:paraId="1C5C74EB" w14:textId="77777777" w:rsidR="0022184F" w:rsidRPr="008D25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036"/>
      </w:tabs>
      <w:spacing w:line="240" w:lineRule="auto"/>
      <w:ind w:left="-2" w:right="360" w:firstLine="0"/>
      <w:jc w:val="center"/>
      <w:rPr>
        <w:color w:val="000000"/>
        <w:sz w:val="4"/>
        <w:szCs w:val="4"/>
        <w:lang w:val="en-US"/>
      </w:rPr>
    </w:pPr>
    <w:r w:rsidRPr="008D2573">
      <w:rPr>
        <w:color w:val="000000"/>
        <w:sz w:val="4"/>
        <w:szCs w:val="4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13EC" w14:textId="77777777" w:rsidR="002218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i/>
        <w:noProof/>
        <w:color w:val="000000"/>
        <w:sz w:val="20"/>
        <w:szCs w:val="20"/>
      </w:rPr>
      <w:drawing>
        <wp:inline distT="0" distB="0" distL="114300" distR="114300" wp14:anchorId="3301D67F" wp14:editId="688E9183">
          <wp:extent cx="1200150" cy="7620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4F"/>
    <w:rsid w:val="0022184F"/>
    <w:rsid w:val="00334A88"/>
    <w:rsid w:val="0069026F"/>
    <w:rsid w:val="008C63C5"/>
    <w:rsid w:val="008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BE544"/>
  <w15:docId w15:val="{E75EDCBF-81DE-0341-BCED-B5C64907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/>
    </w:rPr>
  </w:style>
  <w:style w:type="paragraph" w:styleId="Ttulo1">
    <w:name w:val="heading 1"/>
    <w:basedOn w:val="Normal"/>
    <w:next w:val="Normal"/>
    <w:uiPriority w:val="9"/>
    <w:qFormat/>
    <w:pPr>
      <w:keepNext/>
      <w:spacing w:before="120"/>
    </w:pPr>
    <w:rPr>
      <w:rFonts w:ascii="Arial" w:hAnsi="Arial" w:cs="Arial"/>
      <w:b/>
      <w:bCs/>
      <w:sz w:val="18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F+rtFSvUfhDabA4izfHU7wyiog==">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 Fontes</cp:lastModifiedBy>
  <cp:revision>2</cp:revision>
  <dcterms:created xsi:type="dcterms:W3CDTF">2023-05-26T14:24:00Z</dcterms:created>
  <dcterms:modified xsi:type="dcterms:W3CDTF">2023-05-26T14:24:00Z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0x01010093D614B2A35D6D469A4AAE62A5259962</vt:lpwstr>
  </property>
</Properties>
</file>